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5520" w:rsidRDefault="00C35520">
      <w:r w:rsidRPr="00C35520">
        <w:rPr>
          <w:noProof/>
          <w:lang w:val="en-US"/>
        </w:rPr>
        <w:drawing>
          <wp:inline distT="0" distB="0" distL="0" distR="0">
            <wp:extent cx="5742940" cy="901784"/>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742940" cy="901784"/>
                    </a:xfrm>
                    <a:prstGeom prst="rect">
                      <a:avLst/>
                    </a:prstGeom>
                    <a:noFill/>
                    <a:ln w="9525">
                      <a:noFill/>
                      <a:miter lim="800000"/>
                      <a:headEnd/>
                      <a:tailEnd/>
                    </a:ln>
                  </pic:spPr>
                </pic:pic>
              </a:graphicData>
            </a:graphic>
          </wp:inline>
        </w:drawing>
      </w:r>
    </w:p>
    <w:p w:rsidR="00C35520" w:rsidRDefault="00C35520"/>
    <w:p w:rsidR="00C35520" w:rsidRDefault="00C35520"/>
    <w:p w:rsidR="00C35520" w:rsidRDefault="00C35520"/>
    <w:p w:rsidR="00C35520" w:rsidRDefault="00C35520"/>
    <w:tbl>
      <w:tblPr>
        <w:tblStyle w:val="TableGrid"/>
        <w:tblW w:w="0" w:type="auto"/>
        <w:tblLayout w:type="fixed"/>
        <w:tblLook w:val="04A0" w:firstRow="1" w:lastRow="0" w:firstColumn="1" w:lastColumn="0" w:noHBand="0" w:noVBand="1"/>
      </w:tblPr>
      <w:tblGrid>
        <w:gridCol w:w="6138"/>
        <w:gridCol w:w="3122"/>
      </w:tblGrid>
      <w:tr w:rsidR="008C6190" w:rsidTr="008C6190">
        <w:tc>
          <w:tcPr>
            <w:tcW w:w="6138" w:type="dxa"/>
            <w:tcBorders>
              <w:top w:val="nil"/>
              <w:left w:val="nil"/>
              <w:bottom w:val="nil"/>
              <w:right w:val="nil"/>
            </w:tcBorders>
          </w:tcPr>
          <w:p w:rsidR="008C6190" w:rsidRDefault="008C6190" w:rsidP="008C6190">
            <w:pPr>
              <w:pStyle w:val="Default"/>
            </w:pPr>
          </w:p>
          <w:p w:rsidR="008C6190" w:rsidRDefault="008C6190" w:rsidP="008C6190">
            <w:pPr>
              <w:autoSpaceDE w:val="0"/>
              <w:autoSpaceDN w:val="0"/>
              <w:adjustRightInd w:val="0"/>
              <w:spacing w:after="120"/>
              <w:rPr>
                <w:rFonts w:ascii="Arial" w:hAnsi="Arial" w:cs="Arial"/>
                <w:b/>
                <w:color w:val="000000" w:themeColor="text1"/>
                <w:sz w:val="24"/>
              </w:rPr>
            </w:pPr>
          </w:p>
          <w:p w:rsidR="00C35520" w:rsidRDefault="00C35520" w:rsidP="008C6190">
            <w:pPr>
              <w:autoSpaceDE w:val="0"/>
              <w:autoSpaceDN w:val="0"/>
              <w:adjustRightInd w:val="0"/>
              <w:spacing w:after="120"/>
              <w:rPr>
                <w:rFonts w:ascii="Arial" w:hAnsi="Arial" w:cs="Arial"/>
                <w:b/>
                <w:color w:val="000000" w:themeColor="text1"/>
                <w:sz w:val="24"/>
              </w:rPr>
            </w:pPr>
          </w:p>
          <w:p w:rsidR="008C6190" w:rsidRPr="008C6190" w:rsidRDefault="008C6190" w:rsidP="008C6190">
            <w:pPr>
              <w:autoSpaceDE w:val="0"/>
              <w:autoSpaceDN w:val="0"/>
              <w:adjustRightInd w:val="0"/>
              <w:spacing w:after="120"/>
              <w:rPr>
                <w:rFonts w:ascii="Arial" w:hAnsi="Arial" w:cs="Arial"/>
                <w:b/>
                <w:color w:val="000000" w:themeColor="text1"/>
                <w:sz w:val="24"/>
              </w:rPr>
            </w:pPr>
            <w:r w:rsidRPr="008C6190">
              <w:rPr>
                <w:rFonts w:ascii="Arial" w:hAnsi="Arial" w:cs="Arial"/>
                <w:b/>
                <w:color w:val="000000" w:themeColor="text1"/>
                <w:sz w:val="24"/>
              </w:rPr>
              <w:t>DigiMon - Digital monitoring of CO2 storage project</w:t>
            </w:r>
          </w:p>
          <w:p w:rsidR="008C6190" w:rsidRDefault="008C6190" w:rsidP="008C6190">
            <w:pPr>
              <w:autoSpaceDE w:val="0"/>
              <w:autoSpaceDN w:val="0"/>
              <w:adjustRightInd w:val="0"/>
              <w:spacing w:after="120"/>
              <w:rPr>
                <w:rStyle w:val="tlid-translation"/>
                <w:rFonts w:ascii="Arial" w:hAnsi="Arial" w:cs="Arial"/>
                <w:b/>
                <w:lang w:val="ro-RO"/>
              </w:rPr>
            </w:pPr>
          </w:p>
        </w:tc>
        <w:tc>
          <w:tcPr>
            <w:tcW w:w="3122" w:type="dxa"/>
            <w:tcBorders>
              <w:top w:val="nil"/>
              <w:left w:val="nil"/>
              <w:bottom w:val="nil"/>
              <w:right w:val="nil"/>
            </w:tcBorders>
          </w:tcPr>
          <w:p w:rsidR="008C6190" w:rsidRDefault="008C6190" w:rsidP="00572799">
            <w:pPr>
              <w:autoSpaceDE w:val="0"/>
              <w:autoSpaceDN w:val="0"/>
              <w:adjustRightInd w:val="0"/>
              <w:spacing w:after="120"/>
              <w:rPr>
                <w:rStyle w:val="tlid-translation"/>
                <w:rFonts w:ascii="Arial" w:hAnsi="Arial" w:cs="Arial"/>
                <w:b/>
                <w:lang w:val="ro-RO"/>
              </w:rPr>
            </w:pPr>
            <w:r>
              <w:rPr>
                <w:rFonts w:ascii="Arial" w:hAnsi="Arial" w:cs="Arial"/>
                <w:b/>
                <w:noProof/>
                <w:lang w:val="en-US"/>
              </w:rPr>
              <w:drawing>
                <wp:inline distT="0" distB="0" distL="0" distR="0">
                  <wp:extent cx="1987880" cy="1549641"/>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1991071" cy="1552128"/>
                          </a:xfrm>
                          <a:prstGeom prst="rect">
                            <a:avLst/>
                          </a:prstGeom>
                          <a:noFill/>
                          <a:ln w="9525">
                            <a:noFill/>
                            <a:miter lim="800000"/>
                            <a:headEnd/>
                            <a:tailEnd/>
                          </a:ln>
                        </pic:spPr>
                      </pic:pic>
                    </a:graphicData>
                  </a:graphic>
                </wp:inline>
              </w:drawing>
            </w:r>
          </w:p>
        </w:tc>
      </w:tr>
    </w:tbl>
    <w:p w:rsidR="008C6190" w:rsidRDefault="008C6190" w:rsidP="00572799">
      <w:pPr>
        <w:autoSpaceDE w:val="0"/>
        <w:autoSpaceDN w:val="0"/>
        <w:adjustRightInd w:val="0"/>
        <w:spacing w:after="120"/>
        <w:rPr>
          <w:rStyle w:val="tlid-translation"/>
          <w:rFonts w:ascii="Arial" w:hAnsi="Arial" w:cs="Arial"/>
          <w:b/>
          <w:lang w:val="ro-RO"/>
        </w:rPr>
      </w:pPr>
    </w:p>
    <w:p w:rsidR="008C6190" w:rsidRDefault="008C6190" w:rsidP="00572799">
      <w:pPr>
        <w:autoSpaceDE w:val="0"/>
        <w:autoSpaceDN w:val="0"/>
        <w:adjustRightInd w:val="0"/>
        <w:spacing w:after="120"/>
        <w:rPr>
          <w:rStyle w:val="tlid-translation"/>
          <w:rFonts w:ascii="Arial" w:hAnsi="Arial" w:cs="Arial"/>
          <w:b/>
          <w:lang w:val="ro-RO"/>
        </w:rPr>
      </w:pPr>
    </w:p>
    <w:p w:rsidR="00C35520" w:rsidRDefault="00C35520" w:rsidP="00572799">
      <w:pPr>
        <w:autoSpaceDE w:val="0"/>
        <w:autoSpaceDN w:val="0"/>
        <w:adjustRightInd w:val="0"/>
        <w:spacing w:after="120"/>
        <w:rPr>
          <w:rStyle w:val="tlid-translation"/>
          <w:rFonts w:ascii="Arial" w:hAnsi="Arial" w:cs="Arial"/>
          <w:b/>
          <w:lang w:val="ro-RO"/>
        </w:rPr>
      </w:pPr>
    </w:p>
    <w:p w:rsidR="00E136FC" w:rsidRPr="00557991" w:rsidRDefault="00E136FC" w:rsidP="00E136FC">
      <w:pPr>
        <w:spacing w:before="100" w:beforeAutospacing="1" w:after="100" w:afterAutospacing="1"/>
        <w:jc w:val="center"/>
        <w:rPr>
          <w:rStyle w:val="tlid-translation"/>
          <w:rFonts w:ascii="Arial" w:hAnsi="Arial" w:cs="Arial"/>
          <w:b/>
          <w:color w:val="000000" w:themeColor="text1"/>
          <w:sz w:val="32"/>
          <w:szCs w:val="32"/>
          <w:lang w:val="ro-RO"/>
        </w:rPr>
      </w:pPr>
      <w:r w:rsidRPr="00557991">
        <w:rPr>
          <w:rStyle w:val="tlid-translation"/>
          <w:rFonts w:ascii="Arial" w:hAnsi="Arial" w:cs="Arial"/>
          <w:b/>
          <w:color w:val="000000" w:themeColor="text1"/>
          <w:sz w:val="32"/>
          <w:szCs w:val="32"/>
          <w:lang w:val="ro-RO"/>
        </w:rPr>
        <w:t>Studiu privind</w:t>
      </w:r>
    </w:p>
    <w:p w:rsidR="00E136FC" w:rsidRPr="00557991" w:rsidRDefault="00E136FC" w:rsidP="00E136FC">
      <w:pPr>
        <w:spacing w:before="100" w:beforeAutospacing="1" w:after="100" w:afterAutospacing="1"/>
        <w:jc w:val="center"/>
        <w:rPr>
          <w:rFonts w:ascii="Arial" w:hAnsi="Arial" w:cs="Arial"/>
          <w:b/>
          <w:color w:val="000000" w:themeColor="text1"/>
          <w:sz w:val="32"/>
          <w:szCs w:val="32"/>
          <w:lang w:val="en-US"/>
        </w:rPr>
      </w:pPr>
      <w:r w:rsidRPr="00557991">
        <w:rPr>
          <w:rFonts w:ascii="Arial" w:hAnsi="Arial" w:cs="Arial"/>
          <w:b/>
          <w:color w:val="000000" w:themeColor="text1"/>
          <w:sz w:val="32"/>
          <w:szCs w:val="32"/>
          <w:lang w:val="en-US"/>
        </w:rPr>
        <w:t>Elemente tehnologice critice si integrarea componentelor</w:t>
      </w:r>
    </w:p>
    <w:p w:rsidR="008C6190" w:rsidRDefault="008C6190" w:rsidP="00572799">
      <w:pPr>
        <w:autoSpaceDE w:val="0"/>
        <w:autoSpaceDN w:val="0"/>
        <w:adjustRightInd w:val="0"/>
        <w:spacing w:after="120"/>
        <w:rPr>
          <w:rStyle w:val="tlid-translation"/>
          <w:rFonts w:ascii="Arial" w:hAnsi="Arial" w:cs="Arial"/>
          <w:b/>
          <w:lang w:val="ro-RO"/>
        </w:rPr>
      </w:pPr>
    </w:p>
    <w:p w:rsidR="008C6190" w:rsidRDefault="008C6190" w:rsidP="00572799">
      <w:pPr>
        <w:autoSpaceDE w:val="0"/>
        <w:autoSpaceDN w:val="0"/>
        <w:adjustRightInd w:val="0"/>
        <w:spacing w:after="120"/>
        <w:rPr>
          <w:rStyle w:val="tlid-translation"/>
          <w:rFonts w:ascii="Arial" w:hAnsi="Arial" w:cs="Arial"/>
          <w:b/>
          <w:lang w:val="ro-RO"/>
        </w:rPr>
      </w:pPr>
    </w:p>
    <w:p w:rsidR="008C6190" w:rsidRDefault="008C6190" w:rsidP="00572799">
      <w:pPr>
        <w:autoSpaceDE w:val="0"/>
        <w:autoSpaceDN w:val="0"/>
        <w:adjustRightInd w:val="0"/>
        <w:spacing w:after="120"/>
        <w:rPr>
          <w:rStyle w:val="tlid-translation"/>
          <w:rFonts w:ascii="Arial" w:hAnsi="Arial" w:cs="Arial"/>
          <w:b/>
          <w:lang w:val="ro-RO"/>
        </w:rPr>
      </w:pPr>
    </w:p>
    <w:p w:rsidR="00C35520" w:rsidRDefault="00C35520" w:rsidP="00572799">
      <w:pPr>
        <w:autoSpaceDE w:val="0"/>
        <w:autoSpaceDN w:val="0"/>
        <w:adjustRightInd w:val="0"/>
        <w:spacing w:after="120"/>
        <w:rPr>
          <w:rStyle w:val="tlid-translation"/>
          <w:rFonts w:ascii="Arial" w:hAnsi="Arial" w:cs="Arial"/>
          <w:b/>
          <w:lang w:val="ro-RO"/>
        </w:rPr>
      </w:pPr>
    </w:p>
    <w:p w:rsidR="00C35520" w:rsidRDefault="00C35520" w:rsidP="00572799">
      <w:pPr>
        <w:autoSpaceDE w:val="0"/>
        <w:autoSpaceDN w:val="0"/>
        <w:adjustRightInd w:val="0"/>
        <w:spacing w:after="120"/>
        <w:rPr>
          <w:rStyle w:val="tlid-translation"/>
          <w:rFonts w:ascii="Arial" w:hAnsi="Arial" w:cs="Arial"/>
          <w:b/>
          <w:lang w:val="ro-RO"/>
        </w:rPr>
      </w:pPr>
    </w:p>
    <w:p w:rsidR="008C6190" w:rsidRDefault="008C61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572690" w:rsidRDefault="00572690" w:rsidP="00572799">
      <w:pPr>
        <w:autoSpaceDE w:val="0"/>
        <w:autoSpaceDN w:val="0"/>
        <w:adjustRightInd w:val="0"/>
        <w:spacing w:after="120"/>
        <w:rPr>
          <w:rStyle w:val="tlid-translation"/>
          <w:rFonts w:ascii="Arial" w:hAnsi="Arial" w:cs="Arial"/>
          <w:b/>
          <w:lang w:val="ro-RO"/>
        </w:rPr>
      </w:pPr>
    </w:p>
    <w:p w:rsidR="00C35520" w:rsidRDefault="00C35520" w:rsidP="00572799">
      <w:pPr>
        <w:autoSpaceDE w:val="0"/>
        <w:autoSpaceDN w:val="0"/>
        <w:adjustRightInd w:val="0"/>
        <w:spacing w:after="120"/>
        <w:rPr>
          <w:rStyle w:val="tlid-translation"/>
          <w:rFonts w:ascii="Arial" w:hAnsi="Arial" w:cs="Arial"/>
          <w:b/>
          <w:lang w:val="ro-RO"/>
        </w:rPr>
      </w:pPr>
    </w:p>
    <w:p w:rsidR="008C6190" w:rsidRDefault="008C6190" w:rsidP="00572799">
      <w:pPr>
        <w:autoSpaceDE w:val="0"/>
        <w:autoSpaceDN w:val="0"/>
        <w:adjustRightInd w:val="0"/>
        <w:spacing w:after="120"/>
        <w:rPr>
          <w:rStyle w:val="tlid-translation"/>
          <w:rFonts w:ascii="Arial" w:hAnsi="Arial" w:cs="Arial"/>
          <w:b/>
          <w:lang w:val="ro-RO"/>
        </w:rPr>
      </w:pPr>
    </w:p>
    <w:p w:rsidR="00572690" w:rsidRPr="007F452C" w:rsidRDefault="007F452C" w:rsidP="00572690">
      <w:pPr>
        <w:pStyle w:val="Default"/>
        <w:spacing w:after="60"/>
        <w:rPr>
          <w:rFonts w:ascii="Arial" w:hAnsi="Arial" w:cs="Arial"/>
          <w:sz w:val="20"/>
          <w:szCs w:val="20"/>
        </w:rPr>
      </w:pPr>
      <w:r w:rsidRPr="007F452C">
        <w:rPr>
          <w:rFonts w:ascii="Arial" w:hAnsi="Arial" w:cs="Arial"/>
          <w:b/>
          <w:bCs/>
          <w:sz w:val="20"/>
          <w:szCs w:val="20"/>
        </w:rPr>
        <w:lastRenderedPageBreak/>
        <w:t>P</w:t>
      </w:r>
      <w:r w:rsidR="00572690" w:rsidRPr="007F452C">
        <w:rPr>
          <w:rFonts w:ascii="Arial" w:hAnsi="Arial" w:cs="Arial"/>
          <w:b/>
          <w:bCs/>
          <w:sz w:val="20"/>
          <w:szCs w:val="20"/>
        </w:rPr>
        <w:t xml:space="preserve">artneri in cadrul proiectului DigiMon: </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NORCE</w:t>
      </w:r>
      <w:r w:rsidR="0098424E" w:rsidRPr="007F452C">
        <w:rPr>
          <w:rFonts w:ascii="Arial" w:hAnsi="Arial" w:cs="Arial"/>
          <w:sz w:val="20"/>
          <w:szCs w:val="20"/>
        </w:rPr>
        <w:t xml:space="preserve"> </w:t>
      </w:r>
      <w:r w:rsidRPr="007F452C">
        <w:rPr>
          <w:rFonts w:ascii="Arial" w:hAnsi="Arial" w:cs="Arial"/>
          <w:sz w:val="20"/>
          <w:szCs w:val="20"/>
        </w:rPr>
        <w:t>- Norwegian Research Center, Bergen, Norway</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OCTIO </w:t>
      </w:r>
      <w:r w:rsidR="0098424E" w:rsidRPr="007F452C">
        <w:rPr>
          <w:rFonts w:ascii="Arial" w:hAnsi="Arial" w:cs="Arial"/>
          <w:sz w:val="20"/>
          <w:szCs w:val="20"/>
        </w:rPr>
        <w:t xml:space="preserve">- </w:t>
      </w:r>
      <w:r w:rsidRPr="007F452C">
        <w:rPr>
          <w:rFonts w:ascii="Arial" w:hAnsi="Arial" w:cs="Arial"/>
          <w:sz w:val="20"/>
          <w:szCs w:val="20"/>
        </w:rPr>
        <w:t>Environmental Monitoring AS, Norway</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NTNU </w:t>
      </w:r>
      <w:r w:rsidR="0098424E" w:rsidRPr="007F452C">
        <w:rPr>
          <w:rFonts w:ascii="Arial" w:hAnsi="Arial" w:cs="Arial"/>
          <w:sz w:val="20"/>
          <w:szCs w:val="20"/>
        </w:rPr>
        <w:t xml:space="preserve">- </w:t>
      </w:r>
      <w:r w:rsidRPr="007F452C">
        <w:rPr>
          <w:rFonts w:ascii="Arial" w:hAnsi="Arial" w:cs="Arial"/>
          <w:sz w:val="20"/>
          <w:szCs w:val="20"/>
        </w:rPr>
        <w:t>Norwegian University of Science and Technology, Norway</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University of Bristol, UK</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CRES </w:t>
      </w:r>
      <w:r w:rsidR="0098424E" w:rsidRPr="007F452C">
        <w:rPr>
          <w:rFonts w:ascii="Arial" w:hAnsi="Arial" w:cs="Arial"/>
          <w:sz w:val="20"/>
          <w:szCs w:val="20"/>
        </w:rPr>
        <w:t xml:space="preserve">- </w:t>
      </w:r>
      <w:r w:rsidRPr="007F452C">
        <w:rPr>
          <w:rFonts w:ascii="Arial" w:hAnsi="Arial" w:cs="Arial"/>
          <w:sz w:val="20"/>
          <w:szCs w:val="20"/>
        </w:rPr>
        <w:t>Centre for Renewable Energy Sources and Saving, Greece</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UFZ </w:t>
      </w:r>
      <w:r w:rsidR="0098424E" w:rsidRPr="007F452C">
        <w:rPr>
          <w:rFonts w:ascii="Arial" w:hAnsi="Arial" w:cs="Arial"/>
          <w:sz w:val="20"/>
          <w:szCs w:val="20"/>
        </w:rPr>
        <w:t xml:space="preserve">- </w:t>
      </w:r>
      <w:r w:rsidRPr="007F452C">
        <w:rPr>
          <w:rFonts w:ascii="Arial" w:hAnsi="Arial" w:cs="Arial"/>
          <w:sz w:val="20"/>
          <w:szCs w:val="20"/>
        </w:rPr>
        <w:t>Helmholtz Centre for Environmental Research, Germany</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SEDONA Development SRL, Romania</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TNO </w:t>
      </w:r>
      <w:r w:rsidR="0098424E" w:rsidRPr="007F452C">
        <w:rPr>
          <w:rFonts w:ascii="Arial" w:hAnsi="Arial" w:cs="Arial"/>
          <w:sz w:val="20"/>
          <w:szCs w:val="20"/>
        </w:rPr>
        <w:t xml:space="preserve">- </w:t>
      </w:r>
      <w:r w:rsidRPr="007F452C">
        <w:rPr>
          <w:rFonts w:ascii="Arial" w:hAnsi="Arial" w:cs="Arial"/>
          <w:sz w:val="20"/>
          <w:szCs w:val="20"/>
        </w:rPr>
        <w:t>Nederlandse Organisatie voor toegepast -natuurwetenschappelijk Onderzoek, Nedherland</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Geotomographie GmbH, Germany</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 xml:space="preserve">LLNL </w:t>
      </w:r>
      <w:r w:rsidR="0098424E" w:rsidRPr="007F452C">
        <w:rPr>
          <w:rFonts w:ascii="Arial" w:hAnsi="Arial" w:cs="Arial"/>
          <w:sz w:val="20"/>
          <w:szCs w:val="20"/>
        </w:rPr>
        <w:t xml:space="preserve">- </w:t>
      </w:r>
      <w:r w:rsidRPr="007F452C">
        <w:rPr>
          <w:rFonts w:ascii="Arial" w:hAnsi="Arial" w:cs="Arial"/>
          <w:sz w:val="20"/>
          <w:szCs w:val="20"/>
        </w:rPr>
        <w:t>Lawrence Livermore National Laboratory, USA</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Silixa Ltd, UK</w:t>
      </w:r>
    </w:p>
    <w:p w:rsidR="00572690" w:rsidRPr="007F452C" w:rsidRDefault="00572690" w:rsidP="00572690">
      <w:pPr>
        <w:pStyle w:val="Default"/>
        <w:spacing w:after="60"/>
        <w:rPr>
          <w:rFonts w:ascii="Arial" w:hAnsi="Arial" w:cs="Arial"/>
          <w:sz w:val="20"/>
          <w:szCs w:val="20"/>
        </w:rPr>
      </w:pPr>
      <w:r w:rsidRPr="007F452C">
        <w:rPr>
          <w:rFonts w:ascii="Arial" w:hAnsi="Arial" w:cs="Arial"/>
          <w:sz w:val="20"/>
          <w:szCs w:val="20"/>
        </w:rPr>
        <w:t>Equinor ASA, Germany</w:t>
      </w:r>
    </w:p>
    <w:p w:rsidR="00572690" w:rsidRPr="007F452C" w:rsidRDefault="00572690" w:rsidP="00572690">
      <w:pPr>
        <w:autoSpaceDE w:val="0"/>
        <w:autoSpaceDN w:val="0"/>
        <w:adjustRightInd w:val="0"/>
        <w:spacing w:after="60"/>
        <w:rPr>
          <w:rStyle w:val="tlid-translation"/>
          <w:rFonts w:ascii="Arial" w:hAnsi="Arial" w:cs="Arial"/>
          <w:b/>
          <w:sz w:val="20"/>
          <w:szCs w:val="20"/>
          <w:lang w:val="ro-RO"/>
        </w:rPr>
      </w:pPr>
      <w:r w:rsidRPr="007F452C">
        <w:rPr>
          <w:rFonts w:ascii="Arial" w:hAnsi="Arial" w:cs="Arial"/>
          <w:sz w:val="20"/>
          <w:szCs w:val="20"/>
        </w:rPr>
        <w:t>Repsol Norge AS, Norway</w:t>
      </w:r>
    </w:p>
    <w:p w:rsidR="00B8159A" w:rsidRPr="007F452C" w:rsidRDefault="00B8159A" w:rsidP="00C03001">
      <w:pPr>
        <w:pStyle w:val="Heading1"/>
        <w:numPr>
          <w:ilvl w:val="0"/>
          <w:numId w:val="46"/>
        </w:numPr>
        <w:spacing w:before="480"/>
        <w:ind w:left="720"/>
        <w:rPr>
          <w:rStyle w:val="tlid-translation"/>
          <w:rFonts w:ascii="Arial" w:hAnsi="Arial" w:cs="Arial"/>
          <w:sz w:val="20"/>
          <w:lang w:val="ro-RO"/>
        </w:rPr>
      </w:pPr>
      <w:bookmarkStart w:id="0" w:name="_Toc26091208"/>
      <w:r w:rsidRPr="007F452C">
        <w:rPr>
          <w:rStyle w:val="tlid-translation"/>
          <w:rFonts w:ascii="Arial" w:hAnsi="Arial" w:cs="Arial"/>
          <w:sz w:val="20"/>
          <w:lang w:val="ro-RO"/>
        </w:rPr>
        <w:t>Obiective și provocări științifice, tehnologice și comerciale</w:t>
      </w:r>
      <w:bookmarkEnd w:id="0"/>
    </w:p>
    <w:p w:rsidR="00B8159A" w:rsidRPr="007F452C" w:rsidRDefault="00B8159A" w:rsidP="007F452C">
      <w:pPr>
        <w:pStyle w:val="Heading2"/>
        <w:spacing w:before="120"/>
        <w:ind w:left="1426" w:hanging="1138"/>
        <w:rPr>
          <w:rStyle w:val="tlid-translation"/>
          <w:rFonts w:ascii="Arial" w:hAnsi="Arial" w:cs="Arial"/>
          <w:sz w:val="20"/>
          <w:lang w:val="ro-RO"/>
        </w:rPr>
      </w:pPr>
      <w:bookmarkStart w:id="1" w:name="_Toc26091209"/>
      <w:r w:rsidRPr="007F452C">
        <w:rPr>
          <w:rStyle w:val="tlid-translation"/>
          <w:rFonts w:ascii="Arial" w:hAnsi="Arial" w:cs="Arial"/>
          <w:sz w:val="20"/>
          <w:lang w:val="ro-RO"/>
        </w:rPr>
        <w:t xml:space="preserve">Obiective </w:t>
      </w:r>
      <w:r w:rsidR="0098190E" w:rsidRPr="007F452C">
        <w:rPr>
          <w:rStyle w:val="tlid-translation"/>
          <w:rFonts w:ascii="Arial" w:hAnsi="Arial" w:cs="Arial"/>
          <w:sz w:val="20"/>
          <w:lang w:val="ro-RO"/>
        </w:rPr>
        <w:t xml:space="preserve">specifice </w:t>
      </w:r>
      <w:r w:rsidRPr="007F452C">
        <w:rPr>
          <w:rStyle w:val="tlid-translation"/>
          <w:rFonts w:ascii="Arial" w:hAnsi="Arial" w:cs="Arial"/>
          <w:sz w:val="20"/>
          <w:lang w:val="ro-RO"/>
        </w:rPr>
        <w:t>și obiective generale</w:t>
      </w:r>
      <w:bookmarkEnd w:id="1"/>
    </w:p>
    <w:p w:rsidR="00C35520" w:rsidRPr="007F452C" w:rsidRDefault="00B8159A" w:rsidP="00572799">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Obiectivul general al proiectului DigiMon este de a dezvolta și demonstra </w:t>
      </w:r>
      <w:r w:rsidR="00C35520" w:rsidRPr="007F452C">
        <w:rPr>
          <w:rStyle w:val="tlid-translation"/>
          <w:rFonts w:ascii="Arial" w:hAnsi="Arial" w:cs="Arial"/>
          <w:sz w:val="20"/>
          <w:szCs w:val="20"/>
          <w:lang w:val="ro-RO"/>
        </w:rPr>
        <w:t xml:space="preserve">functionalitatea </w:t>
      </w:r>
      <w:r w:rsidRPr="007F452C">
        <w:rPr>
          <w:rStyle w:val="tlid-translation"/>
          <w:rFonts w:ascii="Arial" w:hAnsi="Arial" w:cs="Arial"/>
          <w:sz w:val="20"/>
          <w:szCs w:val="20"/>
          <w:lang w:val="ro-RO"/>
        </w:rPr>
        <w:t>un</w:t>
      </w:r>
      <w:r w:rsidR="00C35520" w:rsidRPr="007F452C">
        <w:rPr>
          <w:rStyle w:val="tlid-translation"/>
          <w:rFonts w:ascii="Arial" w:hAnsi="Arial" w:cs="Arial"/>
          <w:sz w:val="20"/>
          <w:szCs w:val="20"/>
          <w:lang w:val="ro-RO"/>
        </w:rPr>
        <w:t>ui</w:t>
      </w:r>
      <w:r w:rsidRPr="007F452C">
        <w:rPr>
          <w:rStyle w:val="tlid-translation"/>
          <w:rFonts w:ascii="Arial" w:hAnsi="Arial" w:cs="Arial"/>
          <w:sz w:val="20"/>
          <w:szCs w:val="20"/>
          <w:lang w:val="ro-RO"/>
        </w:rPr>
        <w:t xml:space="preserve"> sistem de </w:t>
      </w:r>
      <w:r w:rsidR="009B4A80" w:rsidRPr="007F452C">
        <w:rPr>
          <w:rStyle w:val="tlid-translation"/>
          <w:rFonts w:ascii="Arial" w:hAnsi="Arial" w:cs="Arial"/>
          <w:sz w:val="20"/>
          <w:szCs w:val="20"/>
          <w:lang w:val="ro-RO"/>
        </w:rPr>
        <w:t xml:space="preserve">monitorizare si </w:t>
      </w:r>
      <w:r w:rsidRPr="007F452C">
        <w:rPr>
          <w:rStyle w:val="tlid-translation"/>
          <w:rFonts w:ascii="Arial" w:hAnsi="Arial" w:cs="Arial"/>
          <w:sz w:val="20"/>
          <w:szCs w:val="20"/>
          <w:lang w:val="ro-RO"/>
        </w:rPr>
        <w:t>avertizare rapidă</w:t>
      </w:r>
      <w:r w:rsidR="00C35520" w:rsidRPr="007F452C">
        <w:rPr>
          <w:rStyle w:val="tlid-translation"/>
          <w:rFonts w:ascii="Arial" w:hAnsi="Arial" w:cs="Arial"/>
          <w:sz w:val="20"/>
          <w:szCs w:val="20"/>
          <w:lang w:val="ro-RO"/>
        </w:rPr>
        <w:t xml:space="preserve">, </w:t>
      </w:r>
      <w:r w:rsidR="009B4A80" w:rsidRPr="007F452C">
        <w:rPr>
          <w:rStyle w:val="tlid-translation"/>
          <w:rFonts w:ascii="Arial" w:hAnsi="Arial" w:cs="Arial"/>
          <w:sz w:val="20"/>
          <w:szCs w:val="20"/>
          <w:lang w:val="ro-RO"/>
        </w:rPr>
        <w:t>a rezervoarelor de stocare CO2 și sistemelor de bari</w:t>
      </w:r>
      <w:r w:rsidR="0040675F" w:rsidRPr="007F452C">
        <w:rPr>
          <w:rStyle w:val="tlid-translation"/>
          <w:rFonts w:ascii="Arial" w:hAnsi="Arial" w:cs="Arial"/>
          <w:sz w:val="20"/>
          <w:szCs w:val="20"/>
          <w:lang w:val="ro-RO"/>
        </w:rPr>
        <w:t>ere subterane (supraîncărcări in</w:t>
      </w:r>
      <w:r w:rsidR="009B4A80" w:rsidRPr="007F452C">
        <w:rPr>
          <w:rStyle w:val="tlid-translation"/>
          <w:rFonts w:ascii="Arial" w:hAnsi="Arial" w:cs="Arial"/>
          <w:sz w:val="20"/>
          <w:szCs w:val="20"/>
          <w:lang w:val="ro-RO"/>
        </w:rPr>
        <w:t xml:space="preserve"> puțuri), </w:t>
      </w:r>
      <w:r w:rsidRPr="007F452C">
        <w:rPr>
          <w:rStyle w:val="tlid-translation"/>
          <w:rFonts w:ascii="Arial" w:hAnsi="Arial" w:cs="Arial"/>
          <w:sz w:val="20"/>
          <w:szCs w:val="20"/>
          <w:lang w:val="ro-RO"/>
        </w:rPr>
        <w:t>digital</w:t>
      </w:r>
      <w:r w:rsidR="00C35520"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inteligent</w:t>
      </w:r>
      <w:r w:rsidR="00C35520" w:rsidRPr="007F452C">
        <w:rPr>
          <w:rStyle w:val="tlid-translation"/>
          <w:rFonts w:ascii="Arial" w:hAnsi="Arial" w:cs="Arial"/>
          <w:sz w:val="20"/>
          <w:szCs w:val="20"/>
          <w:lang w:val="ro-RO"/>
        </w:rPr>
        <w:t xml:space="preserve"> si </w:t>
      </w:r>
      <w:r w:rsidRPr="007F452C">
        <w:rPr>
          <w:rStyle w:val="tlid-translation"/>
          <w:rFonts w:ascii="Arial" w:hAnsi="Arial" w:cs="Arial"/>
          <w:sz w:val="20"/>
          <w:szCs w:val="20"/>
          <w:lang w:val="ro-RO"/>
        </w:rPr>
        <w:t xml:space="preserve">accesibil. </w:t>
      </w:r>
    </w:p>
    <w:p w:rsidR="00C35520" w:rsidRPr="007F452C" w:rsidRDefault="00B8159A" w:rsidP="00572799">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Noul concept DigiMon combină tehnologia distribuită de detectare </w:t>
      </w:r>
      <w:r w:rsidR="00C35520" w:rsidRPr="007F452C">
        <w:rPr>
          <w:rStyle w:val="tlid-translation"/>
          <w:rFonts w:ascii="Arial" w:hAnsi="Arial" w:cs="Arial"/>
          <w:sz w:val="20"/>
          <w:szCs w:val="20"/>
          <w:lang w:val="ro-RO"/>
        </w:rPr>
        <w:t xml:space="preserve">bazata pe </w:t>
      </w:r>
      <w:r w:rsidRPr="007F452C">
        <w:rPr>
          <w:rStyle w:val="tlid-translation"/>
          <w:rFonts w:ascii="Arial" w:hAnsi="Arial" w:cs="Arial"/>
          <w:sz w:val="20"/>
          <w:szCs w:val="20"/>
          <w:lang w:val="ro-RO"/>
        </w:rPr>
        <w:t>fibre optice (DxS), senzori seismic</w:t>
      </w:r>
      <w:r w:rsidR="00C35520"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 și gravimetri</w:t>
      </w:r>
      <w:r w:rsidR="00C35520" w:rsidRPr="007F452C">
        <w:rPr>
          <w:rStyle w:val="tlid-translation"/>
          <w:rFonts w:ascii="Arial" w:hAnsi="Arial" w:cs="Arial"/>
          <w:sz w:val="20"/>
          <w:szCs w:val="20"/>
          <w:lang w:val="ro-RO"/>
        </w:rPr>
        <w:t xml:space="preserve">ci, </w:t>
      </w:r>
      <w:r w:rsidRPr="007F452C">
        <w:rPr>
          <w:rStyle w:val="tlid-translation"/>
          <w:rFonts w:ascii="Arial" w:hAnsi="Arial" w:cs="Arial"/>
          <w:sz w:val="20"/>
          <w:szCs w:val="20"/>
          <w:lang w:val="ro-RO"/>
        </w:rPr>
        <w:t>cu comunicare digitală</w:t>
      </w:r>
      <w:r w:rsidR="00C35520"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bazat</w:t>
      </w:r>
      <w:r w:rsidR="007A19B7"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 xml:space="preserve"> pe </w:t>
      </w:r>
      <w:r w:rsidR="00C35520" w:rsidRPr="007F452C">
        <w:rPr>
          <w:rStyle w:val="tlid-translation"/>
          <w:rFonts w:ascii="Arial" w:hAnsi="Arial" w:cs="Arial"/>
          <w:sz w:val="20"/>
          <w:szCs w:val="20"/>
          <w:lang w:val="ro-RO"/>
        </w:rPr>
        <w:t>comunicatie E</w:t>
      </w:r>
      <w:r w:rsidRPr="007F452C">
        <w:rPr>
          <w:rStyle w:val="tlid-translation"/>
          <w:rFonts w:ascii="Arial" w:hAnsi="Arial" w:cs="Arial"/>
          <w:sz w:val="20"/>
          <w:szCs w:val="20"/>
          <w:lang w:val="ro-RO"/>
        </w:rPr>
        <w:t xml:space="preserve">thernet și </w:t>
      </w:r>
      <w:r w:rsidR="00C35520" w:rsidRPr="007F452C">
        <w:rPr>
          <w:rStyle w:val="tlid-translation"/>
          <w:rFonts w:ascii="Arial" w:hAnsi="Arial" w:cs="Arial"/>
          <w:sz w:val="20"/>
          <w:szCs w:val="20"/>
          <w:lang w:val="ro-RO"/>
        </w:rPr>
        <w:t>pachete de programe</w:t>
      </w:r>
      <w:r w:rsidRPr="007F452C">
        <w:rPr>
          <w:rStyle w:val="tlid-translation"/>
          <w:rFonts w:ascii="Arial" w:hAnsi="Arial" w:cs="Arial"/>
          <w:sz w:val="20"/>
          <w:szCs w:val="20"/>
          <w:lang w:val="ro-RO"/>
        </w:rPr>
        <w:t xml:space="preserve"> în timp real</w:t>
      </w:r>
      <w:r w:rsidR="007A19B7" w:rsidRPr="007F452C">
        <w:rPr>
          <w:rStyle w:val="tlid-translation"/>
          <w:rFonts w:ascii="Arial" w:hAnsi="Arial" w:cs="Arial"/>
          <w:sz w:val="20"/>
          <w:szCs w:val="20"/>
          <w:lang w:val="ro-RO"/>
        </w:rPr>
        <w:t xml:space="preserve"> si</w:t>
      </w:r>
      <w:r w:rsidRPr="007F452C">
        <w:rPr>
          <w:rStyle w:val="tlid-translation"/>
          <w:rFonts w:ascii="Arial" w:hAnsi="Arial" w:cs="Arial"/>
          <w:sz w:val="20"/>
          <w:szCs w:val="20"/>
          <w:lang w:val="ro-RO"/>
        </w:rPr>
        <w:t xml:space="preserve"> </w:t>
      </w:r>
      <w:r w:rsidR="00C35520" w:rsidRPr="007F452C">
        <w:rPr>
          <w:rStyle w:val="tlid-translation"/>
          <w:rFonts w:ascii="Arial" w:hAnsi="Arial" w:cs="Arial"/>
          <w:sz w:val="20"/>
          <w:szCs w:val="20"/>
          <w:lang w:val="ro-RO"/>
        </w:rPr>
        <w:t>pe tehnologie</w:t>
      </w:r>
      <w:r w:rsidRPr="007F452C">
        <w:rPr>
          <w:rStyle w:val="tlid-translation"/>
          <w:rFonts w:ascii="Arial" w:hAnsi="Arial" w:cs="Arial"/>
          <w:sz w:val="20"/>
          <w:szCs w:val="20"/>
          <w:lang w:val="ro-RO"/>
        </w:rPr>
        <w:t xml:space="preserve"> web. </w:t>
      </w:r>
    </w:p>
    <w:p w:rsidR="00B8159A" w:rsidRPr="007F452C" w:rsidRDefault="007F452C" w:rsidP="00572799">
      <w:pPr>
        <w:pStyle w:val="ListParagraph"/>
        <w:autoSpaceDE w:val="0"/>
        <w:autoSpaceDN w:val="0"/>
        <w:adjustRightInd w:val="0"/>
        <w:spacing w:after="120"/>
        <w:ind w:left="0"/>
        <w:jc w:val="both"/>
        <w:rPr>
          <w:rStyle w:val="tlid-translation"/>
          <w:rFonts w:ascii="Arial" w:hAnsi="Arial" w:cs="Arial"/>
          <w:sz w:val="20"/>
          <w:szCs w:val="20"/>
          <w:lang w:val="ro-RO"/>
        </w:rPr>
      </w:pPr>
      <w:r>
        <w:rPr>
          <w:rFonts w:ascii="Arial" w:hAnsi="Arial" w:cs="Arial"/>
          <w:noProof/>
        </w:rPr>
        <w:drawing>
          <wp:anchor distT="0" distB="0" distL="114300" distR="114300" simplePos="0" relativeHeight="251740185" behindDoc="0" locked="0" layoutInCell="1" allowOverlap="1" wp14:anchorId="20E5C6ED" wp14:editId="2A0D2906">
            <wp:simplePos x="0" y="0"/>
            <wp:positionH relativeFrom="margin">
              <wp:posOffset>611505</wp:posOffset>
            </wp:positionH>
            <wp:positionV relativeFrom="paragraph">
              <wp:posOffset>817245</wp:posOffset>
            </wp:positionV>
            <wp:extent cx="5073015" cy="3124200"/>
            <wp:effectExtent l="0" t="0" r="0" b="0"/>
            <wp:wrapThrough wrapText="bothSides">
              <wp:wrapPolygon edited="0">
                <wp:start x="12410" y="0"/>
                <wp:lineTo x="5678" y="922"/>
                <wp:lineTo x="3974" y="1317"/>
                <wp:lineTo x="3974" y="2107"/>
                <wp:lineTo x="0" y="4215"/>
                <wp:lineTo x="0" y="4741"/>
                <wp:lineTo x="10626" y="6322"/>
                <wp:lineTo x="13627" y="6322"/>
                <wp:lineTo x="6083" y="6980"/>
                <wp:lineTo x="4299" y="7376"/>
                <wp:lineTo x="4299" y="8429"/>
                <wp:lineTo x="2596" y="10537"/>
                <wp:lineTo x="243" y="12249"/>
                <wp:lineTo x="243" y="12776"/>
                <wp:lineTo x="1217" y="14751"/>
                <wp:lineTo x="1298" y="16859"/>
                <wp:lineTo x="0" y="18834"/>
                <wp:lineTo x="81" y="19624"/>
                <wp:lineTo x="892" y="21073"/>
                <wp:lineTo x="1298" y="21468"/>
                <wp:lineTo x="19061" y="21468"/>
                <wp:lineTo x="20846" y="21073"/>
                <wp:lineTo x="21495" y="20546"/>
                <wp:lineTo x="21495" y="10800"/>
                <wp:lineTo x="21332" y="10668"/>
                <wp:lineTo x="19386" y="10537"/>
                <wp:lineTo x="19548" y="7507"/>
                <wp:lineTo x="18899" y="7112"/>
                <wp:lineTo x="15736" y="6322"/>
                <wp:lineTo x="16303" y="6322"/>
                <wp:lineTo x="18980" y="4610"/>
                <wp:lineTo x="18980" y="4215"/>
                <wp:lineTo x="19386" y="2107"/>
                <wp:lineTo x="19710" y="1185"/>
                <wp:lineTo x="19305" y="922"/>
                <wp:lineTo x="15330" y="0"/>
                <wp:lineTo x="12410" y="0"/>
              </wp:wrapPolygon>
            </wp:wrapThrough>
            <wp:docPr id="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3015" cy="3124200"/>
                    </a:xfrm>
                    <a:prstGeom prst="rect">
                      <a:avLst/>
                    </a:prstGeom>
                    <a:noFill/>
                  </pic:spPr>
                </pic:pic>
              </a:graphicData>
            </a:graphic>
            <wp14:sizeRelH relativeFrom="margin">
              <wp14:pctWidth>0</wp14:pctWidth>
            </wp14:sizeRelH>
            <wp14:sizeRelV relativeFrom="margin">
              <wp14:pctHeight>0</wp14:pctHeight>
            </wp14:sizeRelV>
          </wp:anchor>
        </w:drawing>
      </w:r>
      <w:r w:rsidR="00B8159A" w:rsidRPr="007F452C">
        <w:rPr>
          <w:rStyle w:val="tlid-translation"/>
          <w:rFonts w:ascii="Arial" w:hAnsi="Arial" w:cs="Arial"/>
          <w:sz w:val="20"/>
          <w:szCs w:val="20"/>
          <w:lang w:val="ro-RO"/>
        </w:rPr>
        <w:t>DigiMon se concentrează pe monitorizarea mișcării penelo</w:t>
      </w:r>
      <w:r w:rsidR="00C35520" w:rsidRPr="007F452C">
        <w:rPr>
          <w:rStyle w:val="tlid-translation"/>
          <w:rFonts w:ascii="Arial" w:hAnsi="Arial" w:cs="Arial"/>
          <w:sz w:val="20"/>
          <w:szCs w:val="20"/>
          <w:lang w:val="ro-RO"/>
        </w:rPr>
        <w:t>r de CO2 în rezervo</w:t>
      </w:r>
      <w:r w:rsidR="009B4A80" w:rsidRPr="007F452C">
        <w:rPr>
          <w:rStyle w:val="tlid-translation"/>
          <w:rFonts w:ascii="Arial" w:hAnsi="Arial" w:cs="Arial"/>
          <w:sz w:val="20"/>
          <w:szCs w:val="20"/>
          <w:lang w:val="ro-RO"/>
        </w:rPr>
        <w:t>are</w:t>
      </w:r>
      <w:r w:rsidR="00C35520" w:rsidRPr="007F452C">
        <w:rPr>
          <w:rStyle w:val="tlid-translation"/>
          <w:rFonts w:ascii="Arial" w:hAnsi="Arial" w:cs="Arial"/>
          <w:sz w:val="20"/>
          <w:szCs w:val="20"/>
          <w:lang w:val="ro-RO"/>
        </w:rPr>
        <w:t xml:space="preserve">, </w:t>
      </w:r>
      <w:r w:rsidR="009B4A80" w:rsidRPr="007F452C">
        <w:rPr>
          <w:rStyle w:val="tlid-translation"/>
          <w:rFonts w:ascii="Arial" w:hAnsi="Arial" w:cs="Arial"/>
          <w:sz w:val="20"/>
          <w:szCs w:val="20"/>
          <w:lang w:val="ro-RO"/>
        </w:rPr>
        <w:t xml:space="preserve">a </w:t>
      </w:r>
      <w:r w:rsidR="00C35520" w:rsidRPr="007F452C">
        <w:rPr>
          <w:rStyle w:val="tlid-translation"/>
          <w:rFonts w:ascii="Arial" w:hAnsi="Arial" w:cs="Arial"/>
          <w:sz w:val="20"/>
          <w:szCs w:val="20"/>
          <w:lang w:val="ro-RO"/>
        </w:rPr>
        <w:t>scurgerilor</w:t>
      </w:r>
      <w:r w:rsidR="00B8159A" w:rsidRPr="007F452C">
        <w:rPr>
          <w:rStyle w:val="tlid-translation"/>
          <w:rFonts w:ascii="Arial" w:hAnsi="Arial" w:cs="Arial"/>
          <w:sz w:val="20"/>
          <w:szCs w:val="20"/>
          <w:lang w:val="ro-RO"/>
        </w:rPr>
        <w:t xml:space="preserve"> la supraîncărcarea și integritatea puțu</w:t>
      </w:r>
      <w:r w:rsidR="00C35520" w:rsidRPr="007F452C">
        <w:rPr>
          <w:rStyle w:val="tlid-translation"/>
          <w:rFonts w:ascii="Arial" w:hAnsi="Arial" w:cs="Arial"/>
          <w:sz w:val="20"/>
          <w:szCs w:val="20"/>
          <w:lang w:val="ro-RO"/>
        </w:rPr>
        <w:t>rilor</w:t>
      </w:r>
      <w:r w:rsidR="00B8159A" w:rsidRPr="007F452C">
        <w:rPr>
          <w:rStyle w:val="tlid-translation"/>
          <w:rFonts w:ascii="Arial" w:hAnsi="Arial" w:cs="Arial"/>
          <w:sz w:val="20"/>
          <w:szCs w:val="20"/>
          <w:lang w:val="ro-RO"/>
        </w:rPr>
        <w:t xml:space="preserve">, ca mijloc de identificare și de avertizare timpurie a </w:t>
      </w:r>
      <w:r w:rsidR="009B4A80" w:rsidRPr="007F452C">
        <w:rPr>
          <w:rStyle w:val="tlid-translation"/>
          <w:rFonts w:ascii="Arial" w:hAnsi="Arial" w:cs="Arial"/>
          <w:sz w:val="20"/>
          <w:szCs w:val="20"/>
          <w:lang w:val="ro-RO"/>
        </w:rPr>
        <w:t xml:space="preserve">depasirilor de prag, </w:t>
      </w:r>
      <w:r w:rsidR="00B8159A" w:rsidRPr="007F452C">
        <w:rPr>
          <w:rStyle w:val="tlid-translation"/>
          <w:rFonts w:ascii="Arial" w:hAnsi="Arial" w:cs="Arial"/>
          <w:sz w:val="20"/>
          <w:szCs w:val="20"/>
          <w:lang w:val="ro-RO"/>
        </w:rPr>
        <w:t>reale sau potențiale ale barierelor. Detectarea încălcării izolar</w:t>
      </w:r>
      <w:r w:rsidR="00162B6E" w:rsidRPr="007F452C">
        <w:rPr>
          <w:rStyle w:val="tlid-translation"/>
          <w:rFonts w:ascii="Arial" w:hAnsi="Arial" w:cs="Arial"/>
          <w:sz w:val="20"/>
          <w:szCs w:val="20"/>
          <w:lang w:val="ro-RO"/>
        </w:rPr>
        <w:t>ii</w:t>
      </w:r>
      <w:r w:rsidR="00B8159A" w:rsidRPr="007F452C">
        <w:rPr>
          <w:rStyle w:val="tlid-translation"/>
          <w:rFonts w:ascii="Arial" w:hAnsi="Arial" w:cs="Arial"/>
          <w:sz w:val="20"/>
          <w:szCs w:val="20"/>
          <w:lang w:val="ro-RO"/>
        </w:rPr>
        <w:t xml:space="preserve"> în siturile de stocare a CO2 de către sistemul DigiMon poate declanșa campanii de monitorizare mai </w:t>
      </w:r>
      <w:r w:rsidR="009B4A80" w:rsidRPr="007F452C">
        <w:rPr>
          <w:rStyle w:val="tlid-translation"/>
          <w:rFonts w:ascii="Arial" w:hAnsi="Arial" w:cs="Arial"/>
          <w:sz w:val="20"/>
          <w:szCs w:val="20"/>
          <w:lang w:val="ro-RO"/>
        </w:rPr>
        <w:t>avansate</w:t>
      </w:r>
      <w:r w:rsidR="00B8159A" w:rsidRPr="007F452C">
        <w:rPr>
          <w:rStyle w:val="tlid-translation"/>
          <w:rFonts w:ascii="Arial" w:hAnsi="Arial" w:cs="Arial"/>
          <w:sz w:val="20"/>
          <w:szCs w:val="20"/>
          <w:lang w:val="ro-RO"/>
        </w:rPr>
        <w:t xml:space="preserve"> folosind metode convenționale bazate pe sondaje.</w:t>
      </w: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B8159A" w:rsidRPr="00572799" w:rsidRDefault="00B8159A" w:rsidP="00572799">
      <w:pPr>
        <w:autoSpaceDE w:val="0"/>
        <w:autoSpaceDN w:val="0"/>
        <w:adjustRightInd w:val="0"/>
        <w:spacing w:after="120" w:line="276" w:lineRule="auto"/>
        <w:rPr>
          <w:rFonts w:ascii="Arial" w:hAnsi="Arial" w:cs="Arial"/>
          <w:szCs w:val="22"/>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7F452C" w:rsidRDefault="007F452C" w:rsidP="00572799">
      <w:pPr>
        <w:pStyle w:val="ListParagraph"/>
        <w:autoSpaceDE w:val="0"/>
        <w:autoSpaceDN w:val="0"/>
        <w:adjustRightInd w:val="0"/>
        <w:spacing w:after="120"/>
        <w:ind w:left="0"/>
        <w:jc w:val="both"/>
        <w:rPr>
          <w:rStyle w:val="tlid-translation"/>
          <w:rFonts w:ascii="Arial" w:hAnsi="Arial" w:cs="Arial"/>
          <w:b/>
          <w:lang w:val="ro-RO"/>
        </w:rPr>
      </w:pPr>
    </w:p>
    <w:p w:rsidR="00E136FC" w:rsidRPr="007F452C" w:rsidRDefault="00B8159A" w:rsidP="007F452C">
      <w:pPr>
        <w:pStyle w:val="ListParagraph"/>
        <w:autoSpaceDE w:val="0"/>
        <w:autoSpaceDN w:val="0"/>
        <w:adjustRightInd w:val="0"/>
        <w:spacing w:after="0" w:line="240" w:lineRule="auto"/>
        <w:ind w:left="0"/>
        <w:jc w:val="center"/>
        <w:rPr>
          <w:rStyle w:val="tlid-translation"/>
          <w:rFonts w:ascii="Arial" w:hAnsi="Arial" w:cs="Arial"/>
          <w:sz w:val="20"/>
          <w:szCs w:val="20"/>
          <w:lang w:val="ro-RO"/>
        </w:rPr>
      </w:pPr>
      <w:r w:rsidRPr="007F452C">
        <w:rPr>
          <w:rStyle w:val="tlid-translation"/>
          <w:rFonts w:ascii="Arial" w:hAnsi="Arial" w:cs="Arial"/>
          <w:b/>
          <w:sz w:val="20"/>
          <w:szCs w:val="20"/>
          <w:lang w:val="ro-RO"/>
        </w:rPr>
        <w:t xml:space="preserve">Figura 1: </w:t>
      </w:r>
      <w:r w:rsidRPr="007F452C">
        <w:rPr>
          <w:rStyle w:val="tlid-translation"/>
          <w:rFonts w:ascii="Arial" w:hAnsi="Arial" w:cs="Arial"/>
          <w:sz w:val="20"/>
          <w:szCs w:val="20"/>
          <w:lang w:val="ro-RO"/>
        </w:rPr>
        <w:t>Sistemul digital de monitorizare DigiMon</w:t>
      </w:r>
    </w:p>
    <w:p w:rsidR="00C82DC2" w:rsidRPr="007F452C" w:rsidRDefault="00B8159A" w:rsidP="00572799">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 xml:space="preserve">Asigurarea acceptării publice </w:t>
      </w:r>
      <w:r w:rsidR="00162B6E" w:rsidRPr="007F452C">
        <w:rPr>
          <w:rStyle w:val="tlid-translation"/>
          <w:rFonts w:ascii="Arial" w:hAnsi="Arial" w:cs="Arial"/>
          <w:sz w:val="20"/>
          <w:szCs w:val="20"/>
          <w:lang w:val="ro-RO"/>
        </w:rPr>
        <w:t xml:space="preserve">a </w:t>
      </w:r>
      <w:r w:rsidRPr="007F452C">
        <w:rPr>
          <w:rStyle w:val="tlid-translation"/>
          <w:rFonts w:ascii="Arial" w:hAnsi="Arial" w:cs="Arial"/>
          <w:sz w:val="20"/>
          <w:szCs w:val="20"/>
          <w:lang w:val="ro-RO"/>
        </w:rPr>
        <w:t xml:space="preserve">CCS </w:t>
      </w:r>
      <w:r w:rsidR="00162B6E" w:rsidRPr="007F452C">
        <w:rPr>
          <w:rStyle w:val="tlid-translation"/>
          <w:rFonts w:ascii="Arial" w:hAnsi="Arial" w:cs="Arial"/>
          <w:sz w:val="20"/>
          <w:szCs w:val="20"/>
          <w:lang w:val="ro-RO"/>
        </w:rPr>
        <w:t xml:space="preserve">(Carbon Capture Stoarage) </w:t>
      </w:r>
      <w:r w:rsidRPr="007F452C">
        <w:rPr>
          <w:rStyle w:val="tlid-translation"/>
          <w:rFonts w:ascii="Arial" w:hAnsi="Arial" w:cs="Arial"/>
          <w:sz w:val="20"/>
          <w:szCs w:val="20"/>
          <w:lang w:val="ro-RO"/>
        </w:rPr>
        <w:t xml:space="preserve">este importantă și este strâns legată de percepția socială a calității și fiabilității tehnologice și a impactului asupra mediului în caz de eșec. </w:t>
      </w:r>
    </w:p>
    <w:p w:rsidR="00220DDE" w:rsidRDefault="00162B6E"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Captarea și stocarea carbonului (CCS) este o tehnologie care poate capta până la 90% din emisiile de dioxid de carbon (CO2) generate de utilizarea combustibililor fosili în generarea de energie electrică și în procesele industriale, împiedicând dioxidul de carbon să intre în atmosferă.</w:t>
      </w:r>
    </w:p>
    <w:p w:rsidR="00162B6E" w:rsidRPr="007F452C" w:rsidRDefault="00162B6E"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În plus, utilizarea CCS cu biomasă regenerabilă este una dintre puținele tehnologii de reducere a emisiilor de carbon care pot fi utilizate într-un mod „non-carbon” - scoaterea de fapt a dioxidului de carbon din atmosferă</w:t>
      </w:r>
      <w:r w:rsidR="0070698D" w:rsidRPr="007F452C">
        <w:rPr>
          <w:rStyle w:val="tlid-translation"/>
          <w:rFonts w:ascii="Arial" w:hAnsi="Arial" w:cs="Arial"/>
          <w:sz w:val="20"/>
          <w:szCs w:val="20"/>
          <w:lang w:val="ro-RO"/>
        </w:rPr>
        <w:t>, neutralizarea sa</w:t>
      </w:r>
      <w:r w:rsidRPr="007F452C">
        <w:rPr>
          <w:rStyle w:val="tlid-translation"/>
          <w:rFonts w:ascii="Arial" w:hAnsi="Arial" w:cs="Arial"/>
          <w:sz w:val="20"/>
          <w:szCs w:val="20"/>
          <w:lang w:val="ro-RO"/>
        </w:rPr>
        <w:t>.</w:t>
      </w:r>
    </w:p>
    <w:p w:rsidR="00162B6E" w:rsidRPr="007F452C" w:rsidRDefault="00162B6E"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Din punct de vedere tehnologic, lanțul CCS este format din trei părți; captarea dioxidului de carbon, transportarea dioxidului de carbon și stocarea în siguranță a emisiilor de dioxid de carbon, sub pământ, în câmpuri de petrol și gaz epuizate sau în formațiuni saline</w:t>
      </w:r>
      <w:r w:rsidR="00917BBA" w:rsidRPr="007F452C">
        <w:rPr>
          <w:rStyle w:val="tlid-translation"/>
          <w:rFonts w:ascii="Arial" w:hAnsi="Arial" w:cs="Arial"/>
          <w:sz w:val="20"/>
          <w:szCs w:val="20"/>
          <w:lang w:val="ro-RO"/>
        </w:rPr>
        <w:t xml:space="preserve"> adanci</w:t>
      </w:r>
      <w:r w:rsidRPr="007F452C">
        <w:rPr>
          <w:rStyle w:val="tlid-translation"/>
          <w:rFonts w:ascii="Arial" w:hAnsi="Arial" w:cs="Arial"/>
          <w:sz w:val="20"/>
          <w:szCs w:val="20"/>
          <w:lang w:val="ro-RO"/>
        </w:rPr>
        <w:t>.</w:t>
      </w:r>
    </w:p>
    <w:p w:rsidR="00917BBA" w:rsidRPr="007F452C" w:rsidRDefault="00917BBA"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În primul rând, tehnologiile de captare permit separarea dioxidului de carbon de gazele produse în generarea de energie electrică și procesele industriale printr-una din cele trei metode: capturarea pre-combustie, captarea post-combustie și oxigenul cu combustibil.</w:t>
      </w:r>
    </w:p>
    <w:p w:rsidR="00917BBA" w:rsidRPr="007F452C" w:rsidRDefault="00917BBA"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Dioxidul de carbon este apoi transportat prin conductă sau </w:t>
      </w:r>
      <w:r w:rsidR="007B7306" w:rsidRPr="007F452C">
        <w:rPr>
          <w:rStyle w:val="tlid-translation"/>
          <w:rFonts w:ascii="Arial" w:hAnsi="Arial" w:cs="Arial"/>
          <w:sz w:val="20"/>
          <w:szCs w:val="20"/>
          <w:lang w:val="ro-RO"/>
        </w:rPr>
        <w:t>cu o</w:t>
      </w:r>
      <w:r w:rsidRPr="007F452C">
        <w:rPr>
          <w:rStyle w:val="tlid-translation"/>
          <w:rFonts w:ascii="Arial" w:hAnsi="Arial" w:cs="Arial"/>
          <w:sz w:val="20"/>
          <w:szCs w:val="20"/>
          <w:lang w:val="ro-RO"/>
        </w:rPr>
        <w:t xml:space="preserve"> navă</w:t>
      </w:r>
      <w:r w:rsidR="007B7306"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 pentru depozitare în condiții de siguranță. Milioane de tone de dioxid de carbon sunt deja transportate anual în scopuri comerciale</w:t>
      </w:r>
      <w:r w:rsidR="00F408AE" w:rsidRPr="007F452C">
        <w:rPr>
          <w:rStyle w:val="tlid-translation"/>
          <w:rFonts w:ascii="Arial" w:hAnsi="Arial" w:cs="Arial"/>
          <w:sz w:val="20"/>
          <w:szCs w:val="20"/>
          <w:lang w:val="ro-RO"/>
        </w:rPr>
        <w:t>, prin</w:t>
      </w:r>
      <w:r w:rsidRPr="007F452C">
        <w:rPr>
          <w:rStyle w:val="tlid-translation"/>
          <w:rFonts w:ascii="Arial" w:hAnsi="Arial" w:cs="Arial"/>
          <w:sz w:val="20"/>
          <w:szCs w:val="20"/>
          <w:lang w:val="ro-RO"/>
        </w:rPr>
        <w:t xml:space="preserve"> cistern</w:t>
      </w:r>
      <w:r w:rsidR="00F408AE"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 nav</w:t>
      </w:r>
      <w:r w:rsidR="00F408AE"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 xml:space="preserve"> și conducte. SUA are patru ani de experiență în transportul dioxidului de carbon prin conducte pentru proiecte de recuperare a uleiului.</w:t>
      </w:r>
    </w:p>
    <w:p w:rsidR="00917BBA" w:rsidRPr="007F452C" w:rsidRDefault="00917BBA"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Dioxidul de carbon este apoi depozitat în </w:t>
      </w:r>
      <w:r w:rsidR="00F408AE" w:rsidRPr="007F452C">
        <w:rPr>
          <w:rStyle w:val="tlid-translation"/>
          <w:rFonts w:ascii="Arial" w:hAnsi="Arial" w:cs="Arial"/>
          <w:sz w:val="20"/>
          <w:szCs w:val="20"/>
          <w:lang w:val="ro-RO"/>
        </w:rPr>
        <w:t xml:space="preserve">spatii de stocare, </w:t>
      </w:r>
      <w:r w:rsidRPr="007F452C">
        <w:rPr>
          <w:rStyle w:val="tlid-translation"/>
          <w:rFonts w:ascii="Arial" w:hAnsi="Arial" w:cs="Arial"/>
          <w:sz w:val="20"/>
          <w:szCs w:val="20"/>
          <w:lang w:val="ro-RO"/>
        </w:rPr>
        <w:t>forma</w:t>
      </w:r>
      <w:r w:rsidR="00F408AE" w:rsidRPr="007F452C">
        <w:rPr>
          <w:rStyle w:val="tlid-translation"/>
          <w:rFonts w:ascii="Arial" w:hAnsi="Arial" w:cs="Arial"/>
          <w:sz w:val="20"/>
          <w:szCs w:val="20"/>
          <w:lang w:val="ro-RO"/>
        </w:rPr>
        <w:t xml:space="preserve">te din </w:t>
      </w:r>
      <w:r w:rsidRPr="007F452C">
        <w:rPr>
          <w:rStyle w:val="tlid-translation"/>
          <w:rFonts w:ascii="Arial" w:hAnsi="Arial" w:cs="Arial"/>
          <w:sz w:val="20"/>
          <w:szCs w:val="20"/>
          <w:lang w:val="ro-RO"/>
        </w:rPr>
        <w:t>roci geologice atent selectate, care sunt situate de obicei la câțiva kilometri sub suprafața pământului.</w:t>
      </w:r>
    </w:p>
    <w:p w:rsidR="00F408AE" w:rsidRPr="007F452C" w:rsidRDefault="00917BBA"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fiecare punct al lanțului CCS, de la producție la depozitare, industria are la dispoziție o serie de tehnologii de proces care sunt bine </w:t>
      </w:r>
      <w:r w:rsidR="00F408AE" w:rsidRPr="007F452C">
        <w:rPr>
          <w:rStyle w:val="tlid-translation"/>
          <w:rFonts w:ascii="Arial" w:hAnsi="Arial" w:cs="Arial"/>
          <w:sz w:val="20"/>
          <w:szCs w:val="20"/>
          <w:lang w:val="ro-RO"/>
        </w:rPr>
        <w:t>monitorizate, conduse si cunoscute</w:t>
      </w:r>
      <w:r w:rsidRPr="007F452C">
        <w:rPr>
          <w:rStyle w:val="tlid-translation"/>
          <w:rFonts w:ascii="Arial" w:hAnsi="Arial" w:cs="Arial"/>
          <w:sz w:val="20"/>
          <w:szCs w:val="20"/>
          <w:lang w:val="ro-RO"/>
        </w:rPr>
        <w:t xml:space="preserve"> și au înregistrări excelente de sănătate și siguranță</w:t>
      </w:r>
      <w:r w:rsidR="00F408AE" w:rsidRPr="007F452C">
        <w:rPr>
          <w:rStyle w:val="tlid-translation"/>
          <w:rFonts w:ascii="Arial" w:hAnsi="Arial" w:cs="Arial"/>
          <w:sz w:val="20"/>
          <w:szCs w:val="20"/>
          <w:lang w:val="ro-RO"/>
        </w:rPr>
        <w:t xml:space="preserve"> a populatiei</w:t>
      </w:r>
      <w:r w:rsidRPr="007F452C">
        <w:rPr>
          <w:rStyle w:val="tlid-translation"/>
          <w:rFonts w:ascii="Arial" w:hAnsi="Arial" w:cs="Arial"/>
          <w:sz w:val="20"/>
          <w:szCs w:val="20"/>
          <w:lang w:val="ro-RO"/>
        </w:rPr>
        <w:t xml:space="preserve">. </w:t>
      </w:r>
    </w:p>
    <w:p w:rsidR="00917BBA" w:rsidRPr="007F452C" w:rsidRDefault="00917BBA" w:rsidP="00917BBA">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Desfășurarea comercială a CCS implica adoptarea pe scară largă a acestor </w:t>
      </w:r>
      <w:r w:rsidR="00F408AE" w:rsidRPr="007F452C">
        <w:rPr>
          <w:rStyle w:val="tlid-translation"/>
          <w:rFonts w:ascii="Arial" w:hAnsi="Arial" w:cs="Arial"/>
          <w:sz w:val="20"/>
          <w:szCs w:val="20"/>
          <w:lang w:val="ro-RO"/>
        </w:rPr>
        <w:t xml:space="preserve">metodologii si </w:t>
      </w:r>
      <w:r w:rsidRPr="007F452C">
        <w:rPr>
          <w:rStyle w:val="tlid-translation"/>
          <w:rFonts w:ascii="Arial" w:hAnsi="Arial" w:cs="Arial"/>
          <w:sz w:val="20"/>
          <w:szCs w:val="20"/>
          <w:lang w:val="ro-RO"/>
        </w:rPr>
        <w:t>tehnici CCS, combinat</w:t>
      </w:r>
      <w:r w:rsidR="00F408AE"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 xml:space="preserve"> cu tehnici de monitorizare robuste și reglementări guvernamentale.</w:t>
      </w:r>
    </w:p>
    <w:p w:rsidR="00816274"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CCS este o tehnologie pentru combaterea sch</w:t>
      </w:r>
      <w:r w:rsidR="00F408AE" w:rsidRPr="007F452C">
        <w:rPr>
          <w:rStyle w:val="tlid-translation"/>
          <w:rFonts w:ascii="Arial" w:hAnsi="Arial" w:cs="Arial"/>
          <w:sz w:val="20"/>
          <w:szCs w:val="20"/>
          <w:lang w:val="ro-RO"/>
        </w:rPr>
        <w:t>imbărilor climatice într-un mod controlabil</w:t>
      </w:r>
      <w:r w:rsidRPr="007F452C">
        <w:rPr>
          <w:rStyle w:val="tlid-translation"/>
          <w:rFonts w:ascii="Arial" w:hAnsi="Arial" w:cs="Arial"/>
          <w:sz w:val="20"/>
          <w:szCs w:val="20"/>
          <w:lang w:val="ro-RO"/>
        </w:rPr>
        <w:t xml:space="preserve">, oferind creștere economică și prosperitate regională. Industria are deja abilități și experiență </w:t>
      </w:r>
      <w:r w:rsidR="00F408AE" w:rsidRPr="007F452C">
        <w:rPr>
          <w:rStyle w:val="tlid-translation"/>
          <w:rFonts w:ascii="Arial" w:hAnsi="Arial" w:cs="Arial"/>
          <w:sz w:val="20"/>
          <w:szCs w:val="20"/>
          <w:lang w:val="ro-RO"/>
        </w:rPr>
        <w:t xml:space="preserve">si detine solutii si tehnologii </w:t>
      </w:r>
      <w:r w:rsidRPr="007F452C">
        <w:rPr>
          <w:rStyle w:val="tlid-translation"/>
          <w:rFonts w:ascii="Arial" w:hAnsi="Arial" w:cs="Arial"/>
          <w:sz w:val="20"/>
          <w:szCs w:val="20"/>
          <w:lang w:val="ro-RO"/>
        </w:rPr>
        <w:t>pentru a furniza CCS în siguranță.</w:t>
      </w:r>
    </w:p>
    <w:p w:rsidR="00F408AE"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CCS este una dintr</w:t>
      </w:r>
      <w:r w:rsidR="00F408AE"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o serie de tehnologii necesare pentru combaterea schimbărilor climatice, inclusiv a energiilor regenerabile, energiei nucleare și a eficienței energetice. </w:t>
      </w:r>
    </w:p>
    <w:p w:rsidR="00816274"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Importanța CCS ca unul dintre instrumentele împotriva încălzirii globale este evidențiată într-un raport al Agenției Internaționale pentru Energie, </w:t>
      </w:r>
      <w:r w:rsidR="0098190E" w:rsidRPr="007F452C">
        <w:rPr>
          <w:rStyle w:val="tlid-translation"/>
          <w:rFonts w:ascii="Arial" w:hAnsi="Arial" w:cs="Arial"/>
          <w:sz w:val="20"/>
          <w:szCs w:val="20"/>
          <w:lang w:val="ro-RO"/>
        </w:rPr>
        <w:t xml:space="preserve">IEA, </w:t>
      </w:r>
      <w:r w:rsidRPr="007F452C">
        <w:rPr>
          <w:rStyle w:val="tlid-translation"/>
          <w:rFonts w:ascii="Arial" w:hAnsi="Arial" w:cs="Arial"/>
          <w:sz w:val="20"/>
          <w:szCs w:val="20"/>
          <w:lang w:val="ro-RO"/>
        </w:rPr>
        <w:t>care constatat</w:t>
      </w:r>
      <w:r w:rsidR="0098190E" w:rsidRPr="007F452C">
        <w:rPr>
          <w:rStyle w:val="tlid-translation"/>
          <w:rFonts w:ascii="Arial" w:hAnsi="Arial" w:cs="Arial"/>
          <w:sz w:val="20"/>
          <w:szCs w:val="20"/>
          <w:lang w:val="ro-RO"/>
        </w:rPr>
        <w:t>a</w:t>
      </w:r>
      <w:r w:rsidRPr="007F452C">
        <w:rPr>
          <w:rStyle w:val="tlid-translation"/>
          <w:rFonts w:ascii="Arial" w:hAnsi="Arial" w:cs="Arial"/>
          <w:sz w:val="20"/>
          <w:szCs w:val="20"/>
          <w:lang w:val="ro-RO"/>
        </w:rPr>
        <w:t xml:space="preserve"> că CCS ar putea contribui la o reducere cu 19% a emisiilor globale de CO2 până în 2050 și că lupta împotriva schimbărilor climatice ar putea costa </w:t>
      </w:r>
      <w:r w:rsidR="0098190E" w:rsidRPr="007F452C">
        <w:rPr>
          <w:rStyle w:val="tlid-translation"/>
          <w:rFonts w:ascii="Arial" w:hAnsi="Arial" w:cs="Arial"/>
          <w:sz w:val="20"/>
          <w:szCs w:val="20"/>
          <w:lang w:val="ro-RO"/>
        </w:rPr>
        <w:t xml:space="preserve">cu </w:t>
      </w:r>
      <w:r w:rsidRPr="007F452C">
        <w:rPr>
          <w:rStyle w:val="tlid-translation"/>
          <w:rFonts w:ascii="Arial" w:hAnsi="Arial" w:cs="Arial"/>
          <w:sz w:val="20"/>
          <w:szCs w:val="20"/>
          <w:lang w:val="ro-RO"/>
        </w:rPr>
        <w:t>peste 70 % mai mult fără CCS.</w:t>
      </w:r>
    </w:p>
    <w:p w:rsidR="00624B99" w:rsidRPr="007F452C" w:rsidRDefault="0098190E" w:rsidP="0098190E">
      <w:pPr>
        <w:pStyle w:val="NormalWeb"/>
        <w:spacing w:before="0" w:beforeAutospacing="0" w:after="0" w:afterAutospacing="0"/>
        <w:rPr>
          <w:rStyle w:val="Caption1"/>
          <w:rFonts w:ascii="Arial" w:hAnsi="Arial" w:cs="Arial"/>
          <w:b/>
          <w:sz w:val="20"/>
          <w:szCs w:val="20"/>
        </w:rPr>
      </w:pPr>
      <w:r w:rsidRPr="007F452C">
        <w:rPr>
          <w:rFonts w:ascii="Arial" w:hAnsi="Arial" w:cs="Arial"/>
          <w:noProof/>
          <w:sz w:val="20"/>
          <w:szCs w:val="20"/>
          <w:lang w:val="en-US"/>
        </w:rPr>
        <w:drawing>
          <wp:inline distT="0" distB="0" distL="0" distR="0" wp14:anchorId="39BC53FA" wp14:editId="08EE6C0D">
            <wp:extent cx="5344950" cy="2458234"/>
            <wp:effectExtent l="19050" t="0" r="8100" b="0"/>
            <wp:docPr id="4" name="Picture 1" descr="IEA Energy Technology Perspectives 2010 © OECD/IEA, 2010, Figure ES.1, Page 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A Energy Technology Perspectives 2010 © OECD/IEA, 2010, Figure ES.1, Page 47 "/>
                    <pic:cNvPicPr>
                      <a:picLocks noChangeAspect="1" noChangeArrowheads="1"/>
                    </pic:cNvPicPr>
                  </pic:nvPicPr>
                  <pic:blipFill>
                    <a:blip r:embed="rId16"/>
                    <a:srcRect/>
                    <a:stretch>
                      <a:fillRect/>
                    </a:stretch>
                  </pic:blipFill>
                  <pic:spPr bwMode="auto">
                    <a:xfrm>
                      <a:off x="0" y="0"/>
                      <a:ext cx="5349106" cy="2460146"/>
                    </a:xfrm>
                    <a:prstGeom prst="rect">
                      <a:avLst/>
                    </a:prstGeom>
                    <a:noFill/>
                    <a:ln w="9525">
                      <a:noFill/>
                      <a:miter lim="800000"/>
                      <a:headEnd/>
                      <a:tailEnd/>
                    </a:ln>
                  </pic:spPr>
                </pic:pic>
              </a:graphicData>
            </a:graphic>
          </wp:inline>
        </w:drawing>
      </w:r>
    </w:p>
    <w:p w:rsidR="0098190E" w:rsidRPr="007F452C" w:rsidRDefault="0098190E" w:rsidP="0098190E">
      <w:pPr>
        <w:pStyle w:val="NormalWeb"/>
        <w:spacing w:before="0" w:beforeAutospacing="0" w:after="0" w:afterAutospacing="0"/>
        <w:rPr>
          <w:rFonts w:ascii="Arial" w:hAnsi="Arial" w:cs="Arial"/>
          <w:sz w:val="20"/>
          <w:szCs w:val="20"/>
        </w:rPr>
      </w:pPr>
      <w:proofErr w:type="gramStart"/>
      <w:r w:rsidRPr="007F452C">
        <w:rPr>
          <w:rStyle w:val="Caption1"/>
          <w:rFonts w:ascii="Arial" w:hAnsi="Arial" w:cs="Arial"/>
          <w:b/>
          <w:sz w:val="20"/>
          <w:szCs w:val="20"/>
        </w:rPr>
        <w:t>Figura 2.</w:t>
      </w:r>
      <w:proofErr w:type="gramEnd"/>
      <w:r w:rsidRPr="007F452C">
        <w:rPr>
          <w:rStyle w:val="Caption1"/>
          <w:rFonts w:ascii="Arial" w:hAnsi="Arial" w:cs="Arial"/>
          <w:sz w:val="20"/>
          <w:szCs w:val="20"/>
        </w:rPr>
        <w:t xml:space="preserve"> Perspectivele tehnologice energetice - IEA</w:t>
      </w:r>
    </w:p>
    <w:p w:rsidR="00F408AE" w:rsidRPr="007F452C" w:rsidRDefault="00F408AE" w:rsidP="00816274">
      <w:pPr>
        <w:pStyle w:val="ListParagraph"/>
        <w:autoSpaceDE w:val="0"/>
        <w:autoSpaceDN w:val="0"/>
        <w:adjustRightInd w:val="0"/>
        <w:spacing w:after="120"/>
        <w:ind w:left="0"/>
        <w:jc w:val="both"/>
        <w:rPr>
          <w:rStyle w:val="tlid-translation"/>
          <w:rFonts w:ascii="Arial" w:hAnsi="Arial" w:cs="Arial"/>
          <w:sz w:val="20"/>
          <w:szCs w:val="20"/>
          <w:lang w:val="ro-RO"/>
        </w:rPr>
      </w:pPr>
    </w:p>
    <w:p w:rsidR="00816274"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CCS poate fi aplicat</w:t>
      </w:r>
      <w:r w:rsidR="0098190E" w:rsidRPr="007F452C">
        <w:rPr>
          <w:rStyle w:val="tlid-translation"/>
          <w:rFonts w:ascii="Arial" w:hAnsi="Arial" w:cs="Arial"/>
          <w:sz w:val="20"/>
          <w:szCs w:val="20"/>
          <w:lang w:val="ro-RO"/>
        </w:rPr>
        <w:t>a</w:t>
      </w:r>
      <w:r w:rsidRPr="007F452C">
        <w:rPr>
          <w:rStyle w:val="tlid-translation"/>
          <w:rFonts w:ascii="Arial" w:hAnsi="Arial" w:cs="Arial"/>
          <w:sz w:val="20"/>
          <w:szCs w:val="20"/>
          <w:lang w:val="ro-RO"/>
        </w:rPr>
        <w:t xml:space="preserve"> instalațiilor de producere a energiei electrice pe bază de combustibil</w:t>
      </w:r>
      <w:r w:rsidR="0098190E"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 fosil</w:t>
      </w:r>
      <w:r w:rsidR="0098190E"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cum ar fi stațiile de alimentare cu cărbune sau cu gaz. Instalațiile cu combustibil</w:t>
      </w:r>
      <w:r w:rsidR="0098190E"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 fosil</w:t>
      </w:r>
      <w:r w:rsidR="0098190E"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 cu CCS au un rol esențial în furnizarea unui aport energetic echilibrat, care poate face față schimbărilor rapide ale cererii și intermitenței ofertei, pe care nu le poate produce energie nucleară și regenerabilă. CCS va juca un rol esențial în Marea Britanie pentru a furniza electricitate sigură, accesibilă, cu emisii reduse de carbon în tranziția către o economie cu emisii reduse de carbon.</w:t>
      </w:r>
    </w:p>
    <w:p w:rsidR="00F408AE"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De asemenea, CCS poate reduce semn</w:t>
      </w:r>
      <w:r w:rsidR="00832ED6" w:rsidRPr="007F452C">
        <w:rPr>
          <w:rStyle w:val="tlid-translation"/>
          <w:rFonts w:ascii="Arial" w:hAnsi="Arial" w:cs="Arial"/>
          <w:sz w:val="20"/>
          <w:szCs w:val="20"/>
          <w:lang w:val="ro-RO"/>
        </w:rPr>
        <w:t>ificativ emisiile din industrie</w:t>
      </w:r>
      <w:r w:rsidRPr="007F452C">
        <w:rPr>
          <w:rStyle w:val="tlid-translation"/>
          <w:rFonts w:ascii="Arial" w:hAnsi="Arial" w:cs="Arial"/>
          <w:sz w:val="20"/>
          <w:szCs w:val="20"/>
          <w:lang w:val="ro-RO"/>
        </w:rPr>
        <w:t xml:space="preserve"> cum ar fi</w:t>
      </w:r>
      <w:r w:rsidR="00832ED6" w:rsidRPr="007F452C">
        <w:rPr>
          <w:rStyle w:val="tlid-translation"/>
          <w:rFonts w:ascii="Arial" w:hAnsi="Arial" w:cs="Arial"/>
          <w:sz w:val="20"/>
          <w:szCs w:val="20"/>
          <w:lang w:val="ro-RO"/>
        </w:rPr>
        <w:t xml:space="preserve">:industria </w:t>
      </w:r>
      <w:r w:rsidRPr="007F452C">
        <w:rPr>
          <w:rStyle w:val="tlid-translation"/>
          <w:rFonts w:ascii="Arial" w:hAnsi="Arial" w:cs="Arial"/>
          <w:sz w:val="20"/>
          <w:szCs w:val="20"/>
          <w:lang w:val="ro-RO"/>
        </w:rPr>
        <w:t>cimentul</w:t>
      </w:r>
      <w:r w:rsidR="00832ED6" w:rsidRPr="007F452C">
        <w:rPr>
          <w:rStyle w:val="tlid-translation"/>
          <w:rFonts w:ascii="Arial" w:hAnsi="Arial" w:cs="Arial"/>
          <w:sz w:val="20"/>
          <w:szCs w:val="20"/>
          <w:lang w:val="ro-RO"/>
        </w:rPr>
        <w:t>ui</w:t>
      </w:r>
      <w:r w:rsidRPr="007F452C">
        <w:rPr>
          <w:rStyle w:val="tlid-translation"/>
          <w:rFonts w:ascii="Arial" w:hAnsi="Arial" w:cs="Arial"/>
          <w:sz w:val="20"/>
          <w:szCs w:val="20"/>
          <w:lang w:val="ro-RO"/>
        </w:rPr>
        <w:t xml:space="preserve">, </w:t>
      </w:r>
      <w:r w:rsidR="00832ED6" w:rsidRPr="007F452C">
        <w:rPr>
          <w:rStyle w:val="tlid-translation"/>
          <w:rFonts w:ascii="Arial" w:hAnsi="Arial" w:cs="Arial"/>
          <w:sz w:val="20"/>
          <w:szCs w:val="20"/>
          <w:lang w:val="ro-RO"/>
        </w:rPr>
        <w:t xml:space="preserve">industria </w:t>
      </w:r>
      <w:r w:rsidRPr="007F452C">
        <w:rPr>
          <w:rStyle w:val="tlid-translation"/>
          <w:rFonts w:ascii="Arial" w:hAnsi="Arial" w:cs="Arial"/>
          <w:sz w:val="20"/>
          <w:szCs w:val="20"/>
          <w:lang w:val="ro-RO"/>
        </w:rPr>
        <w:t>oțelul</w:t>
      </w:r>
      <w:r w:rsidR="00832ED6" w:rsidRPr="007F452C">
        <w:rPr>
          <w:rStyle w:val="tlid-translation"/>
          <w:rFonts w:ascii="Arial" w:hAnsi="Arial" w:cs="Arial"/>
          <w:sz w:val="20"/>
          <w:szCs w:val="20"/>
          <w:lang w:val="ro-RO"/>
        </w:rPr>
        <w:t>ui</w:t>
      </w:r>
      <w:r w:rsidRPr="007F452C">
        <w:rPr>
          <w:rStyle w:val="tlid-translation"/>
          <w:rFonts w:ascii="Arial" w:hAnsi="Arial" w:cs="Arial"/>
          <w:sz w:val="20"/>
          <w:szCs w:val="20"/>
          <w:lang w:val="ro-RO"/>
        </w:rPr>
        <w:t xml:space="preserve"> și industria chimică</w:t>
      </w:r>
      <w:r w:rsidR="00832ED6"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n multe cazuri, este singura tehnologie viabilă în acest moment.</w:t>
      </w:r>
      <w:r w:rsidR="00832ED6" w:rsidRPr="007F452C">
        <w:rPr>
          <w:rStyle w:val="tlid-translation"/>
          <w:rFonts w:ascii="Arial" w:hAnsi="Arial" w:cs="Arial"/>
          <w:sz w:val="20"/>
          <w:szCs w:val="20"/>
          <w:lang w:val="ro-RO"/>
        </w:rPr>
        <w:t xml:space="preserve"> A</w:t>
      </w:r>
      <w:r w:rsidRPr="007F452C">
        <w:rPr>
          <w:rStyle w:val="tlid-translation"/>
          <w:rFonts w:ascii="Arial" w:hAnsi="Arial" w:cs="Arial"/>
          <w:sz w:val="20"/>
          <w:szCs w:val="20"/>
          <w:lang w:val="ro-RO"/>
        </w:rPr>
        <w:t>tunci când este combinat cu biomasă</w:t>
      </w:r>
      <w:r w:rsidR="00832ED6" w:rsidRPr="007F452C">
        <w:rPr>
          <w:rStyle w:val="tlid-translation"/>
          <w:rFonts w:ascii="Arial" w:hAnsi="Arial" w:cs="Arial"/>
          <w:sz w:val="20"/>
          <w:szCs w:val="20"/>
          <w:lang w:val="ro-RO"/>
        </w:rPr>
        <w:t>, CCS</w:t>
      </w:r>
      <w:r w:rsidRPr="007F452C">
        <w:rPr>
          <w:rStyle w:val="tlid-translation"/>
          <w:rFonts w:ascii="Arial" w:hAnsi="Arial" w:cs="Arial"/>
          <w:sz w:val="20"/>
          <w:szCs w:val="20"/>
          <w:lang w:val="ro-RO"/>
        </w:rPr>
        <w:t xml:space="preserve"> poate duce la emisii negative de CO2. </w:t>
      </w:r>
    </w:p>
    <w:p w:rsidR="00816274"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Pe măsură ce plantele cresc, absorb CO2 din atmosferă. Atunci când sunt arse pentru a produce energie, dacă CO2 este captat și depozitat, există o reducere netă de CO2 în atmosferă.</w:t>
      </w:r>
    </w:p>
    <w:p w:rsidR="00F408AE" w:rsidRPr="007F452C" w:rsidRDefault="00F408AE" w:rsidP="00F408AE">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Conceptul DigiMon va fi evaluat în contextul cadrului legal și de reglementare, identificând părțile interesate cheie și posibilele linii de risk, ca o contribuție la selecția de soluții tehnice. </w:t>
      </w:r>
    </w:p>
    <w:p w:rsidR="00F408AE" w:rsidRPr="007F452C" w:rsidRDefault="00F408AE" w:rsidP="00F408AE">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Mai mult decât atât, proiectul DigiMon se va conecta la Platforma tehnologică europeană pentru centralele cu combustibil fosil cu emisii zero (ZEP).</w:t>
      </w:r>
    </w:p>
    <w:p w:rsidR="00220DDE"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„CCS are un rol esențial în asigurarea faptului că putem menține luminile apuse în același timp cu lupta împotriva schimbărilor climatice. Agenția Internațională pentru Energie a estimat că la nivel mondial vor fi necesare 3.400 de instalații CCS până în 2050, dacă ne vom atinge ținta critică de 2 grade peste nivelurile preindustriale. </w:t>
      </w:r>
    </w:p>
    <w:p w:rsidR="00816274" w:rsidRPr="007F452C" w:rsidRDefault="00816274" w:rsidP="00816274">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Marea Britanie are abilitățile și oportunitatea de a conduce lumea în această tehnologie, motiv pentru care în analiza cheltuielilor ne-am angajat să investim până la un miliard de lire sterline în CCS." spune Chris Huhne, fost secretar de stat, Departamentul Energiei și Schimbărilor Climatice</w:t>
      </w:r>
    </w:p>
    <w:p w:rsidR="00E136FC" w:rsidRPr="007F452C" w:rsidRDefault="00B8159A" w:rsidP="00C76A24">
      <w:pPr>
        <w:pStyle w:val="Heading2"/>
        <w:rPr>
          <w:rFonts w:ascii="Arial" w:hAnsi="Arial" w:cs="Arial"/>
          <w:sz w:val="20"/>
        </w:rPr>
      </w:pPr>
      <w:bookmarkStart w:id="2" w:name="_Toc26091210"/>
      <w:r w:rsidRPr="007F452C">
        <w:rPr>
          <w:rFonts w:ascii="Arial" w:hAnsi="Arial" w:cs="Arial"/>
          <w:sz w:val="20"/>
        </w:rPr>
        <w:t>Obiectivele cheie și nivelurile de pregătire tehnologică (TRL)</w:t>
      </w:r>
      <w:bookmarkEnd w:id="2"/>
    </w:p>
    <w:p w:rsidR="00E136FC" w:rsidRPr="007F452C" w:rsidRDefault="00881EAF" w:rsidP="00E136FC">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Parametrii fizici, </w:t>
      </w:r>
      <w:r w:rsidR="00B8159A" w:rsidRPr="007F452C">
        <w:rPr>
          <w:rStyle w:val="tlid-translation"/>
          <w:rFonts w:ascii="Arial" w:hAnsi="Arial" w:cs="Arial"/>
          <w:sz w:val="20"/>
          <w:szCs w:val="20"/>
          <w:lang w:val="ro-RO"/>
        </w:rPr>
        <w:t xml:space="preserve">care sunt influențați de migrația </w:t>
      </w:r>
      <w:r w:rsidRPr="007F452C">
        <w:rPr>
          <w:rStyle w:val="tlid-translation"/>
          <w:rFonts w:ascii="Arial" w:hAnsi="Arial" w:cs="Arial"/>
          <w:sz w:val="20"/>
          <w:szCs w:val="20"/>
          <w:lang w:val="ro-RO"/>
        </w:rPr>
        <w:t>rapida</w:t>
      </w:r>
      <w:r w:rsidR="00B8159A" w:rsidRPr="007F452C">
        <w:rPr>
          <w:rStyle w:val="tlid-translation"/>
          <w:rFonts w:ascii="Arial" w:hAnsi="Arial" w:cs="Arial"/>
          <w:sz w:val="20"/>
          <w:szCs w:val="20"/>
          <w:lang w:val="ro-RO"/>
        </w:rPr>
        <w:t xml:space="preserve"> și de saturația de CO2 în afara traseului de curgere prevăzut</w:t>
      </w:r>
      <w:r w:rsidRPr="007F452C">
        <w:rPr>
          <w:rStyle w:val="tlid-translation"/>
          <w:rFonts w:ascii="Arial" w:hAnsi="Arial" w:cs="Arial"/>
          <w:sz w:val="20"/>
          <w:szCs w:val="20"/>
          <w:lang w:val="ro-RO"/>
        </w:rPr>
        <w:t xml:space="preserve">, </w:t>
      </w:r>
      <w:r w:rsidR="00B8159A" w:rsidRPr="007F452C">
        <w:rPr>
          <w:rStyle w:val="tlid-translation"/>
          <w:rFonts w:ascii="Arial" w:hAnsi="Arial" w:cs="Arial"/>
          <w:sz w:val="20"/>
          <w:szCs w:val="20"/>
          <w:lang w:val="ro-RO"/>
        </w:rPr>
        <w:t xml:space="preserve">pot fi măsurați folosind o varietate de metode geofizice, inclusiv măsurări acustice, electromagnetice și gravitaționale. </w:t>
      </w:r>
    </w:p>
    <w:p w:rsidR="00E136FC" w:rsidRPr="007F452C" w:rsidRDefault="00B8159A" w:rsidP="00E136FC">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Conceptul DigiMon se concentrează pe monitorizarea geofizică. Tehnologiile cu senzor de fibră optică distribuită (DxS) constituie nucleul conceptului, împreună cu comunicarea bazată pe Ethernet și procesarea / analiza inteligentă a datelor opto-acustice.</w:t>
      </w:r>
    </w:p>
    <w:p w:rsidR="00C82DC2" w:rsidRPr="007F452C" w:rsidRDefault="00B8159A" w:rsidP="00E136FC">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Un set de ținte-cheie au fost definite pentru proiectul DigiMon, care urmărește combinarea componentelor dovedite și mai puțin mature ale sistemului într-un sistem holistic (</w:t>
      </w:r>
      <w:r w:rsidR="00134375" w:rsidRPr="007F452C">
        <w:rPr>
          <w:rStyle w:val="tlid-translation"/>
          <w:rFonts w:ascii="Arial" w:hAnsi="Arial" w:cs="Arial"/>
          <w:sz w:val="20"/>
          <w:szCs w:val="20"/>
          <w:lang w:val="ro-RO"/>
        </w:rPr>
        <w:t>Figura</w:t>
      </w:r>
      <w:r w:rsidRPr="007F452C">
        <w:rPr>
          <w:rStyle w:val="tlid-translation"/>
          <w:rFonts w:ascii="Arial" w:hAnsi="Arial" w:cs="Arial"/>
          <w:sz w:val="20"/>
          <w:szCs w:val="20"/>
          <w:lang w:val="ro-RO"/>
        </w:rPr>
        <w:t xml:space="preserve"> 2). Obiectivele cheie constituie baza pentru definirea sarcinilor. </w:t>
      </w:r>
    </w:p>
    <w:p w:rsidR="00E136FC" w:rsidRPr="007F452C" w:rsidRDefault="00C82DC2" w:rsidP="00E136FC">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w:t>
      </w:r>
      <w:r w:rsidR="00134375" w:rsidRPr="007F452C">
        <w:rPr>
          <w:rStyle w:val="tlid-translation"/>
          <w:rFonts w:ascii="Arial" w:hAnsi="Arial" w:cs="Arial"/>
          <w:sz w:val="20"/>
          <w:szCs w:val="20"/>
          <w:lang w:val="ro-RO"/>
        </w:rPr>
        <w:t>Figura</w:t>
      </w:r>
      <w:r w:rsidR="0098190E" w:rsidRPr="007F452C">
        <w:rPr>
          <w:rStyle w:val="tlid-translation"/>
          <w:rFonts w:ascii="Arial" w:hAnsi="Arial" w:cs="Arial"/>
          <w:sz w:val="20"/>
          <w:szCs w:val="20"/>
          <w:lang w:val="ro-RO"/>
        </w:rPr>
        <w:t>3</w:t>
      </w:r>
      <w:r w:rsidRPr="007F452C">
        <w:rPr>
          <w:rStyle w:val="tlid-translation"/>
          <w:rFonts w:ascii="Arial" w:hAnsi="Arial" w:cs="Arial"/>
          <w:sz w:val="20"/>
          <w:szCs w:val="20"/>
          <w:lang w:val="ro-RO"/>
        </w:rPr>
        <w:t>.</w:t>
      </w:r>
      <w:r w:rsidR="00832ED6" w:rsidRPr="007F452C">
        <w:rPr>
          <w:rStyle w:val="tlid-translation"/>
          <w:rFonts w:ascii="Arial" w:hAnsi="Arial" w:cs="Arial"/>
          <w:sz w:val="20"/>
          <w:szCs w:val="20"/>
          <w:lang w:val="ro-RO"/>
        </w:rPr>
        <w:t>, sunt listate nivelele</w:t>
      </w:r>
      <w:r w:rsidR="00B8159A" w:rsidRPr="007F452C">
        <w:rPr>
          <w:rStyle w:val="tlid-translation"/>
          <w:rFonts w:ascii="Arial" w:hAnsi="Arial" w:cs="Arial"/>
          <w:sz w:val="20"/>
          <w:szCs w:val="20"/>
          <w:lang w:val="ro-RO"/>
        </w:rPr>
        <w:t xml:space="preserve"> actuale și de pregătire tehnologică (TRL) pentru țintele cheie, folosind scala TRL H-2020. Inclus în ținta-cheie</w:t>
      </w:r>
      <w:r w:rsidR="00832ED6" w:rsidRPr="007F452C">
        <w:rPr>
          <w:rStyle w:val="tlid-translation"/>
          <w:rFonts w:ascii="Arial" w:hAnsi="Arial" w:cs="Arial"/>
          <w:sz w:val="20"/>
          <w:szCs w:val="20"/>
          <w:lang w:val="ro-RO"/>
        </w:rPr>
        <w:t xml:space="preserve"> nr. 5 este conceptul de </w:t>
      </w:r>
      <w:r w:rsidR="00A240E6" w:rsidRPr="007F452C">
        <w:rPr>
          <w:rStyle w:val="tlid-translation"/>
          <w:rFonts w:ascii="Arial" w:hAnsi="Arial" w:cs="Arial"/>
          <w:sz w:val="20"/>
          <w:szCs w:val="20"/>
          <w:lang w:val="ro-RO"/>
        </w:rPr>
        <w:t>„N</w:t>
      </w:r>
      <w:r w:rsidR="00832ED6" w:rsidRPr="007F452C">
        <w:rPr>
          <w:rStyle w:val="tlid-translation"/>
          <w:rFonts w:ascii="Arial" w:hAnsi="Arial" w:cs="Arial"/>
          <w:sz w:val="20"/>
          <w:szCs w:val="20"/>
          <w:lang w:val="ro-RO"/>
        </w:rPr>
        <w:t>ivele</w:t>
      </w:r>
      <w:r w:rsidR="00B8159A" w:rsidRPr="007F452C">
        <w:rPr>
          <w:rStyle w:val="tlid-translation"/>
          <w:rFonts w:ascii="Arial" w:hAnsi="Arial" w:cs="Arial"/>
          <w:sz w:val="20"/>
          <w:szCs w:val="20"/>
          <w:lang w:val="ro-RO"/>
        </w:rPr>
        <w:t xml:space="preserve"> de încorporare socială (SEL)</w:t>
      </w:r>
      <w:r w:rsidR="00A240E6" w:rsidRPr="007F452C">
        <w:rPr>
          <w:rStyle w:val="tlid-translation"/>
          <w:rFonts w:ascii="Arial" w:hAnsi="Arial" w:cs="Arial"/>
          <w:sz w:val="20"/>
          <w:szCs w:val="20"/>
          <w:lang w:val="ro-RO"/>
        </w:rPr>
        <w:t>”</w:t>
      </w:r>
      <w:r w:rsidR="00B8159A" w:rsidRPr="007F452C">
        <w:rPr>
          <w:rStyle w:val="tlid-translation"/>
          <w:rFonts w:ascii="Arial" w:hAnsi="Arial" w:cs="Arial"/>
          <w:sz w:val="20"/>
          <w:szCs w:val="20"/>
          <w:lang w:val="ro-RO"/>
        </w:rPr>
        <w:t>.</w:t>
      </w:r>
    </w:p>
    <w:p w:rsidR="00CC2AA7" w:rsidRPr="007F452C" w:rsidRDefault="00B8159A" w:rsidP="00572799">
      <w:pPr>
        <w:pStyle w:val="ListParagraph"/>
        <w:autoSpaceDE w:val="0"/>
        <w:autoSpaceDN w:val="0"/>
        <w:adjustRightInd w:val="0"/>
        <w:spacing w:after="120"/>
        <w:ind w:left="0"/>
        <w:jc w:val="both"/>
        <w:rPr>
          <w:rStyle w:val="tlid-translation"/>
          <w:rFonts w:ascii="Arial" w:hAnsi="Arial" w:cs="Arial"/>
          <w:sz w:val="20"/>
          <w:szCs w:val="20"/>
          <w:lang w:val="ro-RO"/>
        </w:rPr>
      </w:pPr>
      <w:r w:rsidRPr="007F452C">
        <w:rPr>
          <w:rFonts w:ascii="Arial" w:hAnsi="Arial" w:cs="Arial"/>
          <w:sz w:val="20"/>
          <w:szCs w:val="20"/>
          <w:lang w:val="ro-RO"/>
        </w:rPr>
        <w:br/>
      </w:r>
      <w:r w:rsidR="00134375" w:rsidRPr="007F452C">
        <w:rPr>
          <w:rStyle w:val="tlid-translation"/>
          <w:rFonts w:ascii="Arial" w:hAnsi="Arial" w:cs="Arial"/>
          <w:b/>
          <w:sz w:val="20"/>
          <w:szCs w:val="20"/>
          <w:lang w:val="ro-RO"/>
        </w:rPr>
        <w:t>Figura</w:t>
      </w:r>
      <w:r w:rsidR="0098190E" w:rsidRPr="007F452C">
        <w:rPr>
          <w:rStyle w:val="tlid-translation"/>
          <w:rFonts w:ascii="Arial" w:hAnsi="Arial" w:cs="Arial"/>
          <w:b/>
          <w:sz w:val="20"/>
          <w:szCs w:val="20"/>
          <w:lang w:val="ro-RO"/>
        </w:rPr>
        <w:t>3</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 xml:space="preserve">Obiectivele cheie și </w:t>
      </w:r>
      <w:r w:rsidR="00E136FC" w:rsidRPr="007F452C">
        <w:rPr>
          <w:rStyle w:val="tlid-translation"/>
          <w:rFonts w:ascii="Arial" w:hAnsi="Arial" w:cs="Arial"/>
          <w:sz w:val="20"/>
          <w:szCs w:val="20"/>
          <w:lang w:val="ro-RO"/>
        </w:rPr>
        <w:t xml:space="preserve">nivelele </w:t>
      </w:r>
      <w:r w:rsidRPr="007F452C">
        <w:rPr>
          <w:rStyle w:val="tlid-translation"/>
          <w:rFonts w:ascii="Arial" w:hAnsi="Arial" w:cs="Arial"/>
          <w:sz w:val="20"/>
          <w:szCs w:val="20"/>
          <w:lang w:val="ro-RO"/>
        </w:rPr>
        <w:t>TR</w:t>
      </w:r>
      <w:r w:rsidR="00E136FC" w:rsidRPr="007F452C">
        <w:rPr>
          <w:rStyle w:val="tlid-translation"/>
          <w:rFonts w:ascii="Arial" w:hAnsi="Arial" w:cs="Arial"/>
          <w:sz w:val="20"/>
          <w:szCs w:val="20"/>
          <w:lang w:val="ro-RO"/>
        </w:rPr>
        <w:t>L</w:t>
      </w:r>
      <w:r w:rsidRPr="007F452C">
        <w:rPr>
          <w:rStyle w:val="tlid-translation"/>
          <w:rFonts w:ascii="Arial" w:hAnsi="Arial" w:cs="Arial"/>
          <w:sz w:val="20"/>
          <w:szCs w:val="20"/>
          <w:lang w:val="ro-RO"/>
        </w:rPr>
        <w:t xml:space="preserve"> actuale</w:t>
      </w:r>
      <w:r w:rsidR="00E136FC"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vizate pentru proiectul DigiMon.</w:t>
      </w:r>
    </w:p>
    <w:p w:rsidR="00A240E6" w:rsidRPr="007F452C" w:rsidRDefault="00A240E6" w:rsidP="00572799">
      <w:pPr>
        <w:pStyle w:val="ListParagraph"/>
        <w:autoSpaceDE w:val="0"/>
        <w:autoSpaceDN w:val="0"/>
        <w:adjustRightInd w:val="0"/>
        <w:spacing w:after="120"/>
        <w:ind w:left="0"/>
        <w:jc w:val="both"/>
        <w:rPr>
          <w:rFonts w:ascii="Arial" w:hAnsi="Arial" w:cs="Arial"/>
          <w:sz w:val="20"/>
          <w:szCs w:val="20"/>
          <w:lang w:val="ro-RO"/>
        </w:rPr>
      </w:pPr>
    </w:p>
    <w:tbl>
      <w:tblPr>
        <w:tblStyle w:val="TableGrid2"/>
        <w:tblW w:w="9833" w:type="dxa"/>
        <w:tblInd w:w="-5" w:type="dxa"/>
        <w:tblLayout w:type="fixed"/>
        <w:tblLook w:val="04A0" w:firstRow="1" w:lastRow="0" w:firstColumn="1" w:lastColumn="0" w:noHBand="0" w:noVBand="1"/>
      </w:tblPr>
      <w:tblGrid>
        <w:gridCol w:w="563"/>
        <w:gridCol w:w="2160"/>
        <w:gridCol w:w="2806"/>
        <w:gridCol w:w="3584"/>
        <w:gridCol w:w="720"/>
      </w:tblGrid>
      <w:tr w:rsidR="00AA0880" w:rsidRPr="007F452C" w:rsidTr="00220DDE">
        <w:trPr>
          <w:trHeight w:val="342"/>
        </w:trPr>
        <w:tc>
          <w:tcPr>
            <w:tcW w:w="563" w:type="dxa"/>
            <w:shd w:val="clear" w:color="auto" w:fill="D5DCE4"/>
          </w:tcPr>
          <w:p w:rsidR="00AA0880" w:rsidRPr="007F452C" w:rsidRDefault="00AA0880" w:rsidP="00572799">
            <w:pPr>
              <w:spacing w:after="120" w:line="276" w:lineRule="auto"/>
              <w:rPr>
                <w:rFonts w:ascii="Arial" w:eastAsia="Times New Roman" w:hAnsi="Arial" w:cs="Arial"/>
                <w:b/>
                <w:sz w:val="20"/>
                <w:szCs w:val="20"/>
                <w:lang w:eastAsia="en-GB"/>
              </w:rPr>
            </w:pPr>
            <w:bookmarkStart w:id="3" w:name="_Hlk526407184"/>
            <w:r w:rsidRPr="007F452C">
              <w:rPr>
                <w:rFonts w:ascii="Arial" w:eastAsia="Times New Roman" w:hAnsi="Arial" w:cs="Arial"/>
                <w:b/>
                <w:sz w:val="20"/>
                <w:szCs w:val="20"/>
                <w:lang w:eastAsia="en-GB"/>
              </w:rPr>
              <w:t>No</w:t>
            </w:r>
          </w:p>
        </w:tc>
        <w:tc>
          <w:tcPr>
            <w:tcW w:w="2160" w:type="dxa"/>
            <w:shd w:val="clear" w:color="auto" w:fill="D5DCE4"/>
          </w:tcPr>
          <w:p w:rsidR="00AA0880" w:rsidRPr="007F452C" w:rsidRDefault="009D35A9" w:rsidP="00572799">
            <w:pPr>
              <w:spacing w:after="120" w:line="276" w:lineRule="auto"/>
              <w:rPr>
                <w:rFonts w:ascii="Arial" w:eastAsia="Times New Roman" w:hAnsi="Arial" w:cs="Arial"/>
                <w:b/>
                <w:sz w:val="20"/>
                <w:szCs w:val="20"/>
                <w:lang w:eastAsia="en-GB"/>
              </w:rPr>
            </w:pPr>
            <w:r w:rsidRPr="007F452C">
              <w:rPr>
                <w:rFonts w:ascii="Arial" w:eastAsia="Times New Roman" w:hAnsi="Arial" w:cs="Arial"/>
                <w:b/>
                <w:sz w:val="20"/>
                <w:szCs w:val="20"/>
                <w:lang w:eastAsia="en-GB"/>
              </w:rPr>
              <w:t>Key targets</w:t>
            </w:r>
          </w:p>
        </w:tc>
        <w:tc>
          <w:tcPr>
            <w:tcW w:w="2806" w:type="dxa"/>
            <w:shd w:val="clear" w:color="auto" w:fill="D5DCE4"/>
          </w:tcPr>
          <w:p w:rsidR="00AA0880" w:rsidRPr="007F452C" w:rsidRDefault="00084AA0" w:rsidP="00572799">
            <w:pPr>
              <w:spacing w:after="120" w:line="276" w:lineRule="auto"/>
              <w:rPr>
                <w:rFonts w:ascii="Arial" w:eastAsia="Times New Roman" w:hAnsi="Arial" w:cs="Arial"/>
                <w:b/>
                <w:sz w:val="20"/>
                <w:szCs w:val="20"/>
                <w:lang w:eastAsia="en-GB"/>
              </w:rPr>
            </w:pPr>
            <w:r w:rsidRPr="007F452C">
              <w:rPr>
                <w:rFonts w:ascii="Arial" w:eastAsia="Times New Roman" w:hAnsi="Arial" w:cs="Arial"/>
                <w:b/>
                <w:sz w:val="20"/>
                <w:szCs w:val="20"/>
                <w:lang w:eastAsia="en-GB"/>
              </w:rPr>
              <w:t>Current</w:t>
            </w:r>
            <w:r w:rsidR="009D35A9" w:rsidRPr="007F452C">
              <w:rPr>
                <w:rFonts w:ascii="Arial" w:eastAsia="Times New Roman" w:hAnsi="Arial" w:cs="Arial"/>
                <w:b/>
                <w:sz w:val="20"/>
                <w:szCs w:val="20"/>
                <w:lang w:eastAsia="en-GB"/>
              </w:rPr>
              <w:t xml:space="preserve"> TRL</w:t>
            </w:r>
          </w:p>
        </w:tc>
        <w:tc>
          <w:tcPr>
            <w:tcW w:w="3584" w:type="dxa"/>
            <w:shd w:val="clear" w:color="auto" w:fill="D5DCE4"/>
          </w:tcPr>
          <w:p w:rsidR="00AA0880" w:rsidRPr="007F452C" w:rsidRDefault="00AA0880" w:rsidP="00572799">
            <w:pPr>
              <w:spacing w:after="120" w:line="276" w:lineRule="auto"/>
              <w:rPr>
                <w:rFonts w:ascii="Arial" w:eastAsia="Times New Roman" w:hAnsi="Arial" w:cs="Arial"/>
                <w:b/>
                <w:sz w:val="20"/>
                <w:szCs w:val="20"/>
                <w:lang w:eastAsia="en-GB"/>
              </w:rPr>
            </w:pPr>
            <w:r w:rsidRPr="007F452C">
              <w:rPr>
                <w:rFonts w:ascii="Arial" w:eastAsia="Times New Roman" w:hAnsi="Arial" w:cs="Arial"/>
                <w:b/>
                <w:sz w:val="20"/>
                <w:szCs w:val="20"/>
                <w:lang w:eastAsia="en-GB"/>
              </w:rPr>
              <w:t>Target</w:t>
            </w:r>
            <w:r w:rsidR="009D35A9" w:rsidRPr="007F452C">
              <w:rPr>
                <w:rFonts w:ascii="Arial" w:eastAsia="Times New Roman" w:hAnsi="Arial" w:cs="Arial"/>
                <w:b/>
                <w:sz w:val="20"/>
                <w:szCs w:val="20"/>
                <w:lang w:eastAsia="en-GB"/>
              </w:rPr>
              <w:t>ed TRL</w:t>
            </w:r>
          </w:p>
        </w:tc>
        <w:tc>
          <w:tcPr>
            <w:tcW w:w="720" w:type="dxa"/>
            <w:shd w:val="clear" w:color="auto" w:fill="D5DCE4"/>
          </w:tcPr>
          <w:p w:rsidR="00AA0880" w:rsidRPr="007F452C" w:rsidRDefault="00AA0880" w:rsidP="00572799">
            <w:pPr>
              <w:spacing w:after="120" w:line="276" w:lineRule="auto"/>
              <w:rPr>
                <w:rFonts w:ascii="Arial" w:eastAsia="Times New Roman" w:hAnsi="Arial" w:cs="Arial"/>
                <w:b/>
                <w:sz w:val="20"/>
                <w:szCs w:val="20"/>
                <w:lang w:eastAsia="en-GB"/>
              </w:rPr>
            </w:pPr>
            <w:r w:rsidRPr="007F452C">
              <w:rPr>
                <w:rFonts w:ascii="Arial" w:eastAsia="Times New Roman" w:hAnsi="Arial" w:cs="Arial"/>
                <w:b/>
                <w:sz w:val="20"/>
                <w:szCs w:val="20"/>
                <w:lang w:eastAsia="en-GB"/>
              </w:rPr>
              <w:t>WP</w:t>
            </w:r>
          </w:p>
        </w:tc>
      </w:tr>
      <w:tr w:rsidR="00DF4709" w:rsidRPr="007F452C" w:rsidTr="00220DDE">
        <w:tc>
          <w:tcPr>
            <w:tcW w:w="563" w:type="dxa"/>
          </w:tcPr>
          <w:p w:rsidR="00DF4709" w:rsidRPr="007F452C" w:rsidRDefault="00DF4709" w:rsidP="00572799">
            <w:pPr>
              <w:spacing w:after="120" w:line="276" w:lineRule="auto"/>
              <w:rPr>
                <w:rFonts w:ascii="Arial" w:hAnsi="Arial" w:cs="Arial"/>
                <w:sz w:val="20"/>
                <w:szCs w:val="20"/>
              </w:rPr>
            </w:pPr>
            <w:r w:rsidRPr="007F452C">
              <w:rPr>
                <w:rFonts w:ascii="Arial" w:hAnsi="Arial" w:cs="Arial"/>
                <w:sz w:val="20"/>
                <w:szCs w:val="20"/>
              </w:rPr>
              <w:t>1</w:t>
            </w:r>
          </w:p>
        </w:tc>
        <w:tc>
          <w:tcPr>
            <w:tcW w:w="2160" w:type="dxa"/>
          </w:tcPr>
          <w:p w:rsidR="00DF4709" w:rsidRPr="007F452C" w:rsidRDefault="00B8159A" w:rsidP="004C0BC7">
            <w:pPr>
              <w:autoSpaceDE w:val="0"/>
              <w:autoSpaceDN w:val="0"/>
              <w:adjustRightInd w:val="0"/>
              <w:spacing w:after="120" w:line="276" w:lineRule="auto"/>
              <w:jc w:val="left"/>
              <w:rPr>
                <w:rFonts w:ascii="Arial" w:hAnsi="Arial" w:cs="Arial"/>
                <w:sz w:val="20"/>
                <w:szCs w:val="20"/>
              </w:rPr>
            </w:pPr>
            <w:r w:rsidRPr="007F452C">
              <w:rPr>
                <w:rStyle w:val="tlid-translation"/>
                <w:rFonts w:ascii="Arial" w:hAnsi="Arial" w:cs="Arial"/>
                <w:sz w:val="20"/>
                <w:szCs w:val="20"/>
                <w:lang w:val="ro-RO"/>
              </w:rPr>
              <w:t>Proiectarea și validarea software-ului de procesare</w:t>
            </w:r>
          </w:p>
        </w:tc>
        <w:tc>
          <w:tcPr>
            <w:tcW w:w="2806" w:type="dxa"/>
          </w:tcPr>
          <w:p w:rsidR="00DF4709" w:rsidRPr="007F452C" w:rsidRDefault="00BE532D" w:rsidP="004C0BC7">
            <w:pPr>
              <w:spacing w:after="120" w:line="276" w:lineRule="auto"/>
              <w:jc w:val="left"/>
              <w:rPr>
                <w:rFonts w:ascii="Arial" w:hAnsi="Arial" w:cs="Arial"/>
                <w:sz w:val="20"/>
                <w:szCs w:val="20"/>
                <w:lang w:val="en-US" w:eastAsia="en-GB"/>
              </w:rPr>
            </w:pPr>
            <w:r w:rsidRPr="007F452C">
              <w:rPr>
                <w:rFonts w:ascii="Arial" w:hAnsi="Arial" w:cs="Arial"/>
                <w:sz w:val="20"/>
                <w:szCs w:val="20"/>
                <w:lang w:val="en-US" w:eastAsia="en-GB"/>
              </w:rPr>
              <w:t>Exista component</w:t>
            </w:r>
            <w:r w:rsidR="00E136FC" w:rsidRPr="007F452C">
              <w:rPr>
                <w:rFonts w:ascii="Arial" w:hAnsi="Arial" w:cs="Arial"/>
                <w:sz w:val="20"/>
                <w:szCs w:val="20"/>
                <w:lang w:val="en-US" w:eastAsia="en-GB"/>
              </w:rPr>
              <w:t>e</w:t>
            </w:r>
            <w:r w:rsidRPr="007F452C">
              <w:rPr>
                <w:rFonts w:ascii="Arial" w:hAnsi="Arial" w:cs="Arial"/>
                <w:sz w:val="20"/>
                <w:szCs w:val="20"/>
                <w:lang w:val="en-US" w:eastAsia="en-GB"/>
              </w:rPr>
              <w:t xml:space="preserve"> dar nu un  s</w:t>
            </w:r>
            <w:r w:rsidR="00E136FC" w:rsidRPr="007F452C">
              <w:rPr>
                <w:rFonts w:ascii="Arial" w:hAnsi="Arial" w:cs="Arial"/>
                <w:sz w:val="20"/>
                <w:szCs w:val="20"/>
                <w:lang w:val="en-US" w:eastAsia="en-GB"/>
              </w:rPr>
              <w:t>i</w:t>
            </w:r>
            <w:r w:rsidRPr="007F452C">
              <w:rPr>
                <w:rFonts w:ascii="Arial" w:hAnsi="Arial" w:cs="Arial"/>
                <w:sz w:val="20"/>
                <w:szCs w:val="20"/>
                <w:lang w:val="en-US" w:eastAsia="en-GB"/>
              </w:rPr>
              <w:t>stem integrat</w:t>
            </w:r>
            <w:r w:rsidR="00E136FC" w:rsidRPr="007F452C">
              <w:rPr>
                <w:rFonts w:ascii="Arial" w:hAnsi="Arial" w:cs="Arial"/>
                <w:sz w:val="20"/>
                <w:szCs w:val="20"/>
                <w:lang w:val="en-US" w:eastAsia="en-GB"/>
              </w:rPr>
              <w:t>, nivel TRL 3-4</w:t>
            </w:r>
          </w:p>
        </w:tc>
        <w:tc>
          <w:tcPr>
            <w:tcW w:w="3584" w:type="dxa"/>
          </w:tcPr>
          <w:p w:rsidR="00DF4709" w:rsidRPr="007F452C" w:rsidRDefault="00BE532D" w:rsidP="004C0BC7">
            <w:pPr>
              <w:spacing w:after="120" w:line="276" w:lineRule="auto"/>
              <w:jc w:val="left"/>
              <w:rPr>
                <w:rFonts w:ascii="Arial" w:hAnsi="Arial" w:cs="Arial"/>
                <w:sz w:val="20"/>
                <w:szCs w:val="20"/>
                <w:lang w:val="en-US" w:eastAsia="en-GB"/>
              </w:rPr>
            </w:pPr>
            <w:r w:rsidRPr="007F452C">
              <w:rPr>
                <w:rStyle w:val="tlid-translation"/>
                <w:rFonts w:ascii="Arial" w:hAnsi="Arial" w:cs="Arial"/>
                <w:sz w:val="20"/>
                <w:szCs w:val="20"/>
                <w:lang w:val="ro-RO"/>
              </w:rPr>
              <w:t>Integrarea, testarea și verificarea sistemului de proiectare la TRL 6-7.</w:t>
            </w:r>
          </w:p>
        </w:tc>
        <w:tc>
          <w:tcPr>
            <w:tcW w:w="720" w:type="dxa"/>
          </w:tcPr>
          <w:p w:rsidR="00DF4709" w:rsidRPr="007F452C" w:rsidRDefault="00DF4709" w:rsidP="00572799">
            <w:pPr>
              <w:spacing w:after="120" w:line="276" w:lineRule="auto"/>
              <w:rPr>
                <w:rFonts w:ascii="Arial" w:hAnsi="Arial" w:cs="Arial"/>
                <w:sz w:val="20"/>
                <w:szCs w:val="20"/>
              </w:rPr>
            </w:pPr>
            <w:r w:rsidRPr="007F452C">
              <w:rPr>
                <w:rFonts w:ascii="Arial" w:hAnsi="Arial" w:cs="Arial"/>
                <w:sz w:val="20"/>
                <w:szCs w:val="20"/>
              </w:rPr>
              <w:t>1</w:t>
            </w:r>
          </w:p>
        </w:tc>
      </w:tr>
      <w:tr w:rsidR="006E0BCC" w:rsidRPr="007F452C" w:rsidTr="00220DDE">
        <w:tc>
          <w:tcPr>
            <w:tcW w:w="563" w:type="dxa"/>
          </w:tcPr>
          <w:p w:rsidR="006E0BCC" w:rsidRPr="007F452C" w:rsidRDefault="006E0BCC" w:rsidP="00572799">
            <w:pPr>
              <w:spacing w:after="120" w:line="276" w:lineRule="auto"/>
              <w:rPr>
                <w:rFonts w:ascii="Arial" w:hAnsi="Arial" w:cs="Arial"/>
                <w:sz w:val="20"/>
                <w:szCs w:val="20"/>
              </w:rPr>
            </w:pPr>
            <w:r w:rsidRPr="007F452C">
              <w:rPr>
                <w:rFonts w:ascii="Arial" w:hAnsi="Arial" w:cs="Arial"/>
                <w:sz w:val="20"/>
                <w:szCs w:val="20"/>
              </w:rPr>
              <w:t>2</w:t>
            </w:r>
          </w:p>
        </w:tc>
        <w:tc>
          <w:tcPr>
            <w:tcW w:w="2160" w:type="dxa"/>
          </w:tcPr>
          <w:p w:rsidR="006E0BCC" w:rsidRPr="007F452C" w:rsidRDefault="006E0BCC" w:rsidP="004C0BC7">
            <w:pPr>
              <w:autoSpaceDE w:val="0"/>
              <w:autoSpaceDN w:val="0"/>
              <w:adjustRightInd w:val="0"/>
              <w:spacing w:after="120" w:line="276" w:lineRule="auto"/>
              <w:jc w:val="left"/>
              <w:rPr>
                <w:rFonts w:ascii="Arial" w:hAnsi="Arial" w:cs="Arial"/>
                <w:sz w:val="20"/>
                <w:szCs w:val="20"/>
              </w:rPr>
            </w:pPr>
            <w:r w:rsidRPr="007F452C">
              <w:rPr>
                <w:rStyle w:val="tlid-translation"/>
                <w:rFonts w:ascii="Arial" w:hAnsi="Arial" w:cs="Arial"/>
                <w:sz w:val="20"/>
                <w:szCs w:val="20"/>
                <w:lang w:val="ro-RO"/>
              </w:rPr>
              <w:t>Dezvoltarea fluxului de informatii pentru interpretarea datelor DxS</w:t>
            </w:r>
          </w:p>
        </w:tc>
        <w:tc>
          <w:tcPr>
            <w:tcW w:w="2806"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Fonts w:ascii="Arial" w:hAnsi="Arial" w:cs="Arial"/>
                <w:sz w:val="20"/>
                <w:szCs w:val="20"/>
                <w:lang w:val="en-US" w:eastAsia="en-GB"/>
              </w:rPr>
              <w:t>Exista componente dar nu un  sistem integrat, nivel TRL 3-4</w:t>
            </w:r>
          </w:p>
        </w:tc>
        <w:tc>
          <w:tcPr>
            <w:tcW w:w="3584"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Style w:val="tlid-translation"/>
                <w:rFonts w:ascii="Arial" w:hAnsi="Arial" w:cs="Arial"/>
                <w:sz w:val="20"/>
                <w:szCs w:val="20"/>
                <w:lang w:val="ro-RO"/>
              </w:rPr>
              <w:t>Integrarea, testarea și verificarea sistemului la TRL 6-7.</w:t>
            </w:r>
          </w:p>
        </w:tc>
        <w:tc>
          <w:tcPr>
            <w:tcW w:w="720" w:type="dxa"/>
          </w:tcPr>
          <w:p w:rsidR="006E0BCC" w:rsidRPr="007F452C" w:rsidRDefault="006E0BCC" w:rsidP="00572799">
            <w:pPr>
              <w:spacing w:after="120" w:line="276" w:lineRule="auto"/>
              <w:rPr>
                <w:rFonts w:ascii="Arial" w:hAnsi="Arial" w:cs="Arial"/>
                <w:sz w:val="20"/>
                <w:szCs w:val="20"/>
              </w:rPr>
            </w:pPr>
            <w:r w:rsidRPr="007F452C">
              <w:rPr>
                <w:rFonts w:ascii="Arial" w:hAnsi="Arial" w:cs="Arial"/>
                <w:sz w:val="20"/>
                <w:szCs w:val="20"/>
              </w:rPr>
              <w:t>1</w:t>
            </w:r>
          </w:p>
        </w:tc>
      </w:tr>
      <w:tr w:rsidR="006E0BCC" w:rsidRPr="007F452C" w:rsidTr="00220DDE">
        <w:tc>
          <w:tcPr>
            <w:tcW w:w="563" w:type="dxa"/>
          </w:tcPr>
          <w:p w:rsidR="006E0BCC" w:rsidRPr="007F452C" w:rsidRDefault="006E0BCC" w:rsidP="00572799">
            <w:pPr>
              <w:spacing w:after="120" w:line="276" w:lineRule="auto"/>
              <w:rPr>
                <w:rFonts w:ascii="Arial" w:hAnsi="Arial" w:cs="Arial"/>
                <w:sz w:val="20"/>
                <w:szCs w:val="20"/>
              </w:rPr>
            </w:pPr>
            <w:r w:rsidRPr="007F452C">
              <w:rPr>
                <w:rFonts w:ascii="Arial" w:hAnsi="Arial" w:cs="Arial"/>
                <w:sz w:val="20"/>
                <w:szCs w:val="20"/>
              </w:rPr>
              <w:t>3</w:t>
            </w:r>
          </w:p>
        </w:tc>
        <w:tc>
          <w:tcPr>
            <w:tcW w:w="2160" w:type="dxa"/>
          </w:tcPr>
          <w:p w:rsidR="006E0BCC" w:rsidRPr="007F452C" w:rsidRDefault="006E0BCC" w:rsidP="004C0BC7">
            <w:pPr>
              <w:autoSpaceDE w:val="0"/>
              <w:autoSpaceDN w:val="0"/>
              <w:adjustRightInd w:val="0"/>
              <w:spacing w:after="120" w:line="276" w:lineRule="auto"/>
              <w:jc w:val="left"/>
              <w:rPr>
                <w:rFonts w:ascii="Arial" w:hAnsi="Arial" w:cs="Arial"/>
                <w:sz w:val="20"/>
                <w:szCs w:val="20"/>
              </w:rPr>
            </w:pPr>
            <w:r w:rsidRPr="007F452C">
              <w:rPr>
                <w:rStyle w:val="tlid-translation"/>
                <w:rFonts w:ascii="Arial" w:hAnsi="Arial" w:cs="Arial"/>
                <w:sz w:val="20"/>
                <w:szCs w:val="20"/>
                <w:lang w:val="ro-RO"/>
              </w:rPr>
              <w:t xml:space="preserve">Optimizați </w:t>
            </w:r>
            <w:r w:rsidRPr="007F452C">
              <w:rPr>
                <w:rStyle w:val="tlid-translation"/>
                <w:rFonts w:ascii="Arial" w:hAnsi="Arial" w:cs="Arial"/>
                <w:sz w:val="20"/>
                <w:szCs w:val="20"/>
                <w:lang w:val="ro-RO"/>
              </w:rPr>
              <w:lastRenderedPageBreak/>
              <w:t>instrumentarea pentru utilizarea minimă a echipamentului seismic pentru avertizare timpurie</w:t>
            </w:r>
          </w:p>
        </w:tc>
        <w:tc>
          <w:tcPr>
            <w:tcW w:w="2806"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Style w:val="tlid-translation"/>
                <w:rFonts w:ascii="Arial" w:hAnsi="Arial" w:cs="Arial"/>
                <w:sz w:val="20"/>
                <w:szCs w:val="20"/>
                <w:lang w:val="ro-RO"/>
              </w:rPr>
              <w:lastRenderedPageBreak/>
              <w:t xml:space="preserve">Senzori cu fibră optică </w:t>
            </w:r>
            <w:r w:rsidRPr="007F452C">
              <w:rPr>
                <w:rStyle w:val="tlid-translation"/>
                <w:rFonts w:ascii="Arial" w:hAnsi="Arial" w:cs="Arial"/>
                <w:sz w:val="20"/>
                <w:szCs w:val="20"/>
                <w:lang w:val="ro-RO"/>
              </w:rPr>
              <w:lastRenderedPageBreak/>
              <w:t>(DxS), senzori de punct seismic și componente ale sistemului gravimetric sunt disponibile individual la TRL 5-6, dar nu ca un sistem integrat și optimizat.</w:t>
            </w:r>
          </w:p>
        </w:tc>
        <w:tc>
          <w:tcPr>
            <w:tcW w:w="3584"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Style w:val="tlid-translation"/>
                <w:rFonts w:ascii="Arial" w:hAnsi="Arial" w:cs="Arial"/>
                <w:sz w:val="20"/>
                <w:szCs w:val="20"/>
                <w:lang w:val="ro-RO"/>
              </w:rPr>
              <w:lastRenderedPageBreak/>
              <w:t xml:space="preserve">Integrarea, testarea și verificarea </w:t>
            </w:r>
            <w:r w:rsidRPr="007F452C">
              <w:rPr>
                <w:rStyle w:val="tlid-translation"/>
                <w:rFonts w:ascii="Arial" w:hAnsi="Arial" w:cs="Arial"/>
                <w:sz w:val="20"/>
                <w:szCs w:val="20"/>
                <w:lang w:val="ro-RO"/>
              </w:rPr>
              <w:lastRenderedPageBreak/>
              <w:t>sistemului DigiMon la TRL 6.</w:t>
            </w:r>
          </w:p>
        </w:tc>
        <w:tc>
          <w:tcPr>
            <w:tcW w:w="720" w:type="dxa"/>
          </w:tcPr>
          <w:p w:rsidR="006E0BCC" w:rsidRPr="007F452C" w:rsidRDefault="006E0BCC" w:rsidP="00572799">
            <w:pPr>
              <w:spacing w:after="120" w:line="276" w:lineRule="auto"/>
              <w:rPr>
                <w:rFonts w:ascii="Arial" w:hAnsi="Arial" w:cs="Arial"/>
                <w:sz w:val="20"/>
                <w:szCs w:val="20"/>
              </w:rPr>
            </w:pPr>
            <w:r w:rsidRPr="007F452C">
              <w:rPr>
                <w:rFonts w:ascii="Arial" w:hAnsi="Arial" w:cs="Arial"/>
                <w:sz w:val="20"/>
                <w:szCs w:val="20"/>
              </w:rPr>
              <w:lastRenderedPageBreak/>
              <w:t>2</w:t>
            </w:r>
          </w:p>
        </w:tc>
      </w:tr>
      <w:tr w:rsidR="006E0BCC" w:rsidRPr="007F452C" w:rsidTr="00220DDE">
        <w:tc>
          <w:tcPr>
            <w:tcW w:w="563" w:type="dxa"/>
          </w:tcPr>
          <w:p w:rsidR="006E0BCC" w:rsidRPr="007F452C" w:rsidRDefault="006E0BCC" w:rsidP="00572799">
            <w:pPr>
              <w:spacing w:after="120" w:line="276" w:lineRule="auto"/>
              <w:rPr>
                <w:rFonts w:ascii="Arial" w:hAnsi="Arial" w:cs="Arial"/>
                <w:sz w:val="20"/>
                <w:szCs w:val="20"/>
                <w:lang w:eastAsia="en-GB"/>
              </w:rPr>
            </w:pPr>
            <w:r w:rsidRPr="007F452C">
              <w:rPr>
                <w:rFonts w:ascii="Arial" w:eastAsia="Times New Roman" w:hAnsi="Arial" w:cs="Arial"/>
                <w:sz w:val="20"/>
                <w:szCs w:val="20"/>
              </w:rPr>
              <w:lastRenderedPageBreak/>
              <w:t>4</w:t>
            </w:r>
          </w:p>
        </w:tc>
        <w:tc>
          <w:tcPr>
            <w:tcW w:w="2160" w:type="dxa"/>
          </w:tcPr>
          <w:p w:rsidR="006E0BCC" w:rsidRPr="007F452C" w:rsidRDefault="006E0BCC" w:rsidP="004C0BC7">
            <w:pPr>
              <w:autoSpaceDE w:val="0"/>
              <w:autoSpaceDN w:val="0"/>
              <w:adjustRightInd w:val="0"/>
              <w:spacing w:after="120" w:line="276" w:lineRule="auto"/>
              <w:jc w:val="left"/>
              <w:rPr>
                <w:rFonts w:ascii="Arial" w:hAnsi="Arial" w:cs="Arial"/>
                <w:sz w:val="20"/>
                <w:szCs w:val="20"/>
              </w:rPr>
            </w:pPr>
            <w:r w:rsidRPr="007F452C">
              <w:rPr>
                <w:rStyle w:val="tlid-translation"/>
                <w:rFonts w:ascii="Arial" w:hAnsi="Arial" w:cs="Arial"/>
                <w:sz w:val="20"/>
                <w:szCs w:val="20"/>
                <w:lang w:val="ro-RO"/>
              </w:rPr>
              <w:t>Proiectarea și optimizarea sistemului de comunicatie.</w:t>
            </w:r>
            <w:r w:rsidRPr="007F452C">
              <w:rPr>
                <w:rFonts w:ascii="Arial" w:hAnsi="Arial" w:cs="Arial"/>
                <w:sz w:val="20"/>
                <w:szCs w:val="20"/>
                <w:lang w:val="ro-RO"/>
              </w:rPr>
              <w:br/>
            </w:r>
            <w:r w:rsidRPr="007F452C">
              <w:rPr>
                <w:rStyle w:val="tlid-translation"/>
                <w:rFonts w:ascii="Arial" w:hAnsi="Arial" w:cs="Arial"/>
                <w:sz w:val="20"/>
                <w:szCs w:val="20"/>
                <w:lang w:val="ro-RO"/>
              </w:rPr>
              <w:t xml:space="preserve">Proiectarea unui sistem de monitorizare centrat pe </w:t>
            </w:r>
            <w:r w:rsidR="0029608E" w:rsidRPr="007F452C">
              <w:rPr>
                <w:rStyle w:val="tlid-translation"/>
                <w:rFonts w:ascii="Arial" w:hAnsi="Arial" w:cs="Arial"/>
                <w:sz w:val="20"/>
                <w:szCs w:val="20"/>
                <w:lang w:val="ro-RO"/>
              </w:rPr>
              <w:t xml:space="preserve">securitatea si </w:t>
            </w:r>
            <w:r w:rsidRPr="007F452C">
              <w:rPr>
                <w:rStyle w:val="tlid-translation"/>
                <w:rFonts w:ascii="Arial" w:hAnsi="Arial" w:cs="Arial"/>
                <w:sz w:val="20"/>
                <w:szCs w:val="20"/>
                <w:lang w:val="ro-RO"/>
              </w:rPr>
              <w:t>grija fata de oameni</w:t>
            </w:r>
            <w:r w:rsidR="0029608E" w:rsidRPr="007F452C">
              <w:rPr>
                <w:rStyle w:val="tlid-translation"/>
                <w:rFonts w:ascii="Arial" w:hAnsi="Arial" w:cs="Arial"/>
                <w:sz w:val="20"/>
                <w:szCs w:val="20"/>
                <w:lang w:val="ro-RO"/>
              </w:rPr>
              <w:t>.</w:t>
            </w:r>
          </w:p>
        </w:tc>
        <w:tc>
          <w:tcPr>
            <w:tcW w:w="2806"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Fonts w:ascii="Arial" w:hAnsi="Arial" w:cs="Arial"/>
                <w:sz w:val="20"/>
                <w:szCs w:val="20"/>
                <w:lang w:val="en-US" w:eastAsia="en-GB"/>
              </w:rPr>
              <w:t>Exista componente dar nu un  sistem integrat, nivel TRL 3-4</w:t>
            </w:r>
          </w:p>
        </w:tc>
        <w:tc>
          <w:tcPr>
            <w:tcW w:w="3584" w:type="dxa"/>
          </w:tcPr>
          <w:p w:rsidR="006E0BCC" w:rsidRPr="007F452C" w:rsidRDefault="006E0BCC" w:rsidP="004C0BC7">
            <w:pPr>
              <w:spacing w:after="120" w:line="276" w:lineRule="auto"/>
              <w:jc w:val="left"/>
              <w:rPr>
                <w:rFonts w:ascii="Arial" w:hAnsi="Arial" w:cs="Arial"/>
                <w:sz w:val="20"/>
                <w:szCs w:val="20"/>
                <w:lang w:val="en-US" w:eastAsia="en-GB"/>
              </w:rPr>
            </w:pPr>
            <w:r w:rsidRPr="007F452C">
              <w:rPr>
                <w:rStyle w:val="tlid-translation"/>
                <w:rFonts w:ascii="Arial" w:hAnsi="Arial" w:cs="Arial"/>
                <w:sz w:val="20"/>
                <w:szCs w:val="20"/>
                <w:lang w:val="ro-RO"/>
              </w:rPr>
              <w:t>Integrarea, testarea și verificarea sistemului la TRL 6-7.</w:t>
            </w:r>
          </w:p>
        </w:tc>
        <w:tc>
          <w:tcPr>
            <w:tcW w:w="720" w:type="dxa"/>
          </w:tcPr>
          <w:p w:rsidR="006E0BCC" w:rsidRPr="007F452C" w:rsidRDefault="006E0BCC" w:rsidP="00572799">
            <w:pPr>
              <w:spacing w:after="120" w:line="276" w:lineRule="auto"/>
              <w:rPr>
                <w:rFonts w:ascii="Arial" w:hAnsi="Arial" w:cs="Arial"/>
                <w:sz w:val="20"/>
                <w:szCs w:val="20"/>
                <w:lang w:eastAsia="en-GB"/>
              </w:rPr>
            </w:pPr>
            <w:r w:rsidRPr="007F452C">
              <w:rPr>
                <w:rFonts w:ascii="Arial" w:eastAsia="Times New Roman" w:hAnsi="Arial" w:cs="Arial"/>
                <w:sz w:val="20"/>
                <w:szCs w:val="20"/>
              </w:rPr>
              <w:t>2</w:t>
            </w:r>
          </w:p>
        </w:tc>
      </w:tr>
      <w:tr w:rsidR="006E0BCC" w:rsidRPr="007F452C" w:rsidTr="00220DDE">
        <w:tc>
          <w:tcPr>
            <w:tcW w:w="563" w:type="dxa"/>
          </w:tcPr>
          <w:p w:rsidR="006E0BCC" w:rsidRPr="007F452C" w:rsidRDefault="006E0BCC" w:rsidP="00572799">
            <w:pPr>
              <w:spacing w:after="120" w:line="276" w:lineRule="auto"/>
              <w:rPr>
                <w:rFonts w:ascii="Arial" w:eastAsia="Times New Roman" w:hAnsi="Arial" w:cs="Arial"/>
                <w:sz w:val="20"/>
                <w:szCs w:val="20"/>
              </w:rPr>
            </w:pPr>
            <w:r w:rsidRPr="007F452C">
              <w:rPr>
                <w:rFonts w:ascii="Arial" w:eastAsia="Times New Roman" w:hAnsi="Arial" w:cs="Arial"/>
                <w:sz w:val="20"/>
                <w:szCs w:val="20"/>
              </w:rPr>
              <w:t>5</w:t>
            </w:r>
          </w:p>
        </w:tc>
        <w:tc>
          <w:tcPr>
            <w:tcW w:w="2160" w:type="dxa"/>
          </w:tcPr>
          <w:p w:rsidR="006E0BCC" w:rsidRPr="007F452C" w:rsidRDefault="006E0BCC" w:rsidP="004C0BC7">
            <w:pPr>
              <w:spacing w:after="120" w:line="276" w:lineRule="auto"/>
              <w:jc w:val="left"/>
              <w:rPr>
                <w:rFonts w:ascii="Arial" w:eastAsia="Times New Roman" w:hAnsi="Arial" w:cs="Arial"/>
                <w:sz w:val="20"/>
                <w:szCs w:val="20"/>
                <w:lang w:val="en-US"/>
              </w:rPr>
            </w:pPr>
            <w:r w:rsidRPr="007F452C">
              <w:rPr>
                <w:rFonts w:ascii="Arial" w:eastAsia="Times New Roman" w:hAnsi="Arial" w:cs="Arial"/>
                <w:sz w:val="20"/>
                <w:szCs w:val="20"/>
                <w:lang w:val="en-US"/>
              </w:rPr>
              <w:t>Proiectarea unui system integrat, tip SCADA</w:t>
            </w:r>
          </w:p>
        </w:tc>
        <w:tc>
          <w:tcPr>
            <w:tcW w:w="2806" w:type="dxa"/>
          </w:tcPr>
          <w:p w:rsidR="006E0BCC" w:rsidRPr="007F452C" w:rsidRDefault="006E0BCC" w:rsidP="004C0BC7">
            <w:pPr>
              <w:spacing w:after="120" w:line="276" w:lineRule="auto"/>
              <w:jc w:val="left"/>
              <w:rPr>
                <w:rFonts w:ascii="Arial" w:eastAsia="Times New Roman" w:hAnsi="Arial" w:cs="Arial"/>
                <w:sz w:val="20"/>
                <w:szCs w:val="20"/>
                <w:lang w:val="en-US"/>
              </w:rPr>
            </w:pPr>
            <w:r w:rsidRPr="007F452C">
              <w:rPr>
                <w:rFonts w:ascii="Arial" w:hAnsi="Arial" w:cs="Arial"/>
                <w:sz w:val="20"/>
                <w:szCs w:val="20"/>
                <w:lang w:val="en-US" w:eastAsia="en-GB"/>
              </w:rPr>
              <w:t>Exista componente dar nu un  sistem integrat, nivel TRL 3-4</w:t>
            </w:r>
          </w:p>
        </w:tc>
        <w:tc>
          <w:tcPr>
            <w:tcW w:w="3584" w:type="dxa"/>
          </w:tcPr>
          <w:p w:rsidR="006E0BCC" w:rsidRPr="007F452C" w:rsidRDefault="006E0BCC" w:rsidP="004C0BC7">
            <w:pPr>
              <w:spacing w:after="120" w:line="276" w:lineRule="auto"/>
              <w:jc w:val="left"/>
              <w:rPr>
                <w:rFonts w:ascii="Arial" w:eastAsia="Times New Roman" w:hAnsi="Arial" w:cs="Arial"/>
                <w:sz w:val="20"/>
                <w:szCs w:val="20"/>
                <w:lang w:val="en-US"/>
              </w:rPr>
            </w:pPr>
            <w:r w:rsidRPr="007F452C">
              <w:rPr>
                <w:rFonts w:ascii="Arial" w:eastAsia="Times New Roman" w:hAnsi="Arial" w:cs="Arial"/>
                <w:sz w:val="20"/>
                <w:szCs w:val="20"/>
                <w:lang w:val="en-US"/>
              </w:rPr>
              <w:t>Integrarea componentelor intr-un sistem integrat, la TRL 6-7.</w:t>
            </w:r>
          </w:p>
        </w:tc>
        <w:tc>
          <w:tcPr>
            <w:tcW w:w="720" w:type="dxa"/>
          </w:tcPr>
          <w:p w:rsidR="006E0BCC" w:rsidRPr="007F452C" w:rsidRDefault="006E0BCC" w:rsidP="00572799">
            <w:pPr>
              <w:spacing w:after="120" w:line="276" w:lineRule="auto"/>
              <w:rPr>
                <w:rFonts w:ascii="Arial" w:eastAsia="Times New Roman" w:hAnsi="Arial" w:cs="Arial"/>
                <w:sz w:val="20"/>
                <w:szCs w:val="20"/>
              </w:rPr>
            </w:pPr>
            <w:r w:rsidRPr="007F452C">
              <w:rPr>
                <w:rFonts w:ascii="Arial" w:eastAsia="Times New Roman" w:hAnsi="Arial" w:cs="Arial"/>
                <w:sz w:val="20"/>
                <w:szCs w:val="20"/>
                <w:lang w:eastAsia="en-GB"/>
              </w:rPr>
              <w:t>3</w:t>
            </w:r>
          </w:p>
        </w:tc>
      </w:tr>
    </w:tbl>
    <w:p w:rsidR="00E136FC" w:rsidRPr="007F452C" w:rsidRDefault="00BE532D" w:rsidP="00C76A24">
      <w:pPr>
        <w:pStyle w:val="Heading2"/>
        <w:rPr>
          <w:rFonts w:ascii="Arial" w:hAnsi="Arial" w:cs="Arial"/>
          <w:sz w:val="20"/>
        </w:rPr>
      </w:pPr>
      <w:bookmarkStart w:id="4" w:name="_Toc26091211"/>
      <w:bookmarkEnd w:id="3"/>
      <w:r w:rsidRPr="007F452C">
        <w:rPr>
          <w:rFonts w:ascii="Arial" w:hAnsi="Arial" w:cs="Arial"/>
          <w:sz w:val="20"/>
        </w:rPr>
        <w:t>Provocări științifice, tehnice și comerciale</w:t>
      </w:r>
      <w:bookmarkEnd w:id="4"/>
    </w:p>
    <w:p w:rsidR="00C82DC2"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O serie de senzori și sisteme digitale sunt disponibile în prezent pentru monitorizarea și detectarea CO2. Acestea sunt măsurate de sisteme cu scop unic și senzori punctali care pot oferi măsurători precise și cuprinzătoare, cu o gamă semnificativă de rezoluție și incertitudini, dar deseori la costuri prohibitive. </w:t>
      </w:r>
    </w:p>
    <w:p w:rsidR="00E136FC"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O provocare-cheie este de a implementa combinația optimă de tehnologii diferite care pot reduce incertitudinile fiecărei metode individuale și, în același timp, crește colectiv probabilitatea detectării cu succes a scurgerilor de CO2.</w:t>
      </w:r>
    </w:p>
    <w:p w:rsidR="00E136FC"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Verificarea tehnică a sistemelor integrate este dificilă, mai ales dacă se include investigarea modului în care moștenirea combinată și noile tehnologii cu senzori vor afecta rezultatele măsurării și vor influența raportul cost / beneficiu. Sistemul DigiMon va fi verificat în testele de laborator și pe teren.</w:t>
      </w:r>
    </w:p>
    <w:p w:rsidR="00D675F1"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Asigurarea acceptării publice a CCS poate fi foarte dificilă, în special pentru CCS onshore, deoarece este strâns legată de percepția socială a calității și fiabilității tehnologiilor utilizate, precum și a impactului asupra mediului în caz de eșec. </w:t>
      </w:r>
    </w:p>
    <w:p w:rsidR="00BE532D" w:rsidRPr="007F452C" w:rsidRDefault="00D675F1"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Proiectul </w:t>
      </w:r>
      <w:r w:rsidR="00BE532D" w:rsidRPr="007F452C">
        <w:rPr>
          <w:rFonts w:ascii="Arial" w:hAnsi="Arial" w:cs="Arial"/>
          <w:sz w:val="20"/>
          <w:szCs w:val="20"/>
          <w:lang w:val="ro-RO"/>
        </w:rPr>
        <w:t xml:space="preserve">DigiMon va identifica părțile cheie și posibilele linii de conflict, ca o contribuție pentru selectarea soluțiilor tehnice și maximizarea </w:t>
      </w:r>
      <w:r w:rsidRPr="007F452C">
        <w:rPr>
          <w:rFonts w:ascii="Arial" w:hAnsi="Arial" w:cs="Arial"/>
          <w:sz w:val="20"/>
          <w:szCs w:val="20"/>
          <w:lang w:val="ro-RO"/>
        </w:rPr>
        <w:t>tehnologica (</w:t>
      </w:r>
      <w:r w:rsidR="00BE532D" w:rsidRPr="007F452C">
        <w:rPr>
          <w:rFonts w:ascii="Arial" w:hAnsi="Arial" w:cs="Arial"/>
          <w:sz w:val="20"/>
          <w:szCs w:val="20"/>
          <w:lang w:val="ro-RO"/>
        </w:rPr>
        <w:t>TRL</w:t>
      </w:r>
      <w:r w:rsidRPr="007F452C">
        <w:rPr>
          <w:rFonts w:ascii="Arial" w:hAnsi="Arial" w:cs="Arial"/>
          <w:sz w:val="20"/>
          <w:szCs w:val="20"/>
          <w:lang w:val="ro-RO"/>
        </w:rPr>
        <w:t>)</w:t>
      </w:r>
      <w:r w:rsidR="00BE532D" w:rsidRPr="007F452C">
        <w:rPr>
          <w:rFonts w:ascii="Arial" w:hAnsi="Arial" w:cs="Arial"/>
          <w:sz w:val="20"/>
          <w:szCs w:val="20"/>
          <w:lang w:val="ro-RO"/>
        </w:rPr>
        <w:t xml:space="preserve"> a sistemului.</w:t>
      </w:r>
    </w:p>
    <w:p w:rsidR="00E136FC" w:rsidRPr="007F452C" w:rsidRDefault="00BE532D" w:rsidP="00D675F1">
      <w:pPr>
        <w:pStyle w:val="Heading2"/>
        <w:rPr>
          <w:rFonts w:ascii="Arial" w:hAnsi="Arial" w:cs="Arial"/>
          <w:sz w:val="20"/>
        </w:rPr>
      </w:pPr>
      <w:bookmarkStart w:id="5" w:name="_Toc26091212"/>
      <w:r w:rsidRPr="007F452C">
        <w:rPr>
          <w:rFonts w:ascii="Arial" w:hAnsi="Arial" w:cs="Arial"/>
          <w:sz w:val="20"/>
        </w:rPr>
        <w:t>Descrierea tehnică și științifică</w:t>
      </w:r>
      <w:bookmarkEnd w:id="5"/>
    </w:p>
    <w:p w:rsidR="00220DDE"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Depozitarea CO2 în rezervoarele geologice este o componentă cheie a majorității strategiilor de reducere a gazelor cu efect de seră în atmosferă. </w:t>
      </w:r>
    </w:p>
    <w:p w:rsidR="00C82DC2"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CO2 este capturat la emițători, cum ar fi centralele electrice, și se injectează prin găuri de foraj adânc în rezervoarele de stocare sub-suprafață (captarea și stocarea carbonului - CCS). </w:t>
      </w:r>
    </w:p>
    <w:p w:rsidR="00220DDE"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O serie de strategii de măsurare, monitorizare și verificare (MMV) pot fi utilizate pentru a se asigura că CO2 rămâne pe loc. </w:t>
      </w:r>
    </w:p>
    <w:p w:rsidR="00E136FC"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Ca o cerință de reglementare, planurile MMV tr</w:t>
      </w:r>
      <w:r w:rsidR="00F058D4" w:rsidRPr="007F452C">
        <w:rPr>
          <w:rFonts w:ascii="Arial" w:hAnsi="Arial" w:cs="Arial"/>
          <w:sz w:val="20"/>
          <w:szCs w:val="20"/>
          <w:lang w:val="ro-RO"/>
        </w:rPr>
        <w:t>ebuie să demonstreze Conformitatea</w:t>
      </w:r>
      <w:r w:rsidRPr="007F452C">
        <w:rPr>
          <w:rFonts w:ascii="Arial" w:hAnsi="Arial" w:cs="Arial"/>
          <w:sz w:val="20"/>
          <w:szCs w:val="20"/>
          <w:lang w:val="ro-RO"/>
        </w:rPr>
        <w:t xml:space="preserve"> (că modelele sunt aliniate cu datele de monit</w:t>
      </w:r>
      <w:r w:rsidR="00F058D4" w:rsidRPr="007F452C">
        <w:rPr>
          <w:rFonts w:ascii="Arial" w:hAnsi="Arial" w:cs="Arial"/>
          <w:sz w:val="20"/>
          <w:szCs w:val="20"/>
          <w:lang w:val="ro-RO"/>
        </w:rPr>
        <w:t>orizare), să verifice Conținutul</w:t>
      </w:r>
      <w:r w:rsidRPr="007F452C">
        <w:rPr>
          <w:rFonts w:ascii="Arial" w:hAnsi="Arial" w:cs="Arial"/>
          <w:sz w:val="20"/>
          <w:szCs w:val="20"/>
          <w:lang w:val="ro-RO"/>
        </w:rPr>
        <w:t xml:space="preserve"> (să fie capabil să se asigure că nu există sc</w:t>
      </w:r>
      <w:r w:rsidR="00F058D4" w:rsidRPr="007F452C">
        <w:rPr>
          <w:rFonts w:ascii="Arial" w:hAnsi="Arial" w:cs="Arial"/>
          <w:sz w:val="20"/>
          <w:szCs w:val="20"/>
          <w:lang w:val="ro-RO"/>
        </w:rPr>
        <w:t xml:space="preserve">urgeri) și </w:t>
      </w:r>
      <w:r w:rsidR="00F058D4" w:rsidRPr="007F452C">
        <w:rPr>
          <w:rFonts w:ascii="Arial" w:hAnsi="Arial" w:cs="Arial"/>
          <w:sz w:val="20"/>
          <w:szCs w:val="20"/>
          <w:lang w:val="ro-RO"/>
        </w:rPr>
        <w:lastRenderedPageBreak/>
        <w:t>să ofere planuri de C</w:t>
      </w:r>
      <w:r w:rsidRPr="007F452C">
        <w:rPr>
          <w:rFonts w:ascii="Arial" w:hAnsi="Arial" w:cs="Arial"/>
          <w:sz w:val="20"/>
          <w:szCs w:val="20"/>
          <w:lang w:val="ro-RO"/>
        </w:rPr>
        <w:t>ontingență (angajarea de măsuri corective în cazul unei scurgeri) pentru Proiecte de stocare CO2.</w:t>
      </w:r>
    </w:p>
    <w:p w:rsidR="00220DDE"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O serie de proiecte demonstrative și de stocare comercială a CO2 au arătat că CCS este fezabilă din punct de vedere tehnic. </w:t>
      </w:r>
    </w:p>
    <w:p w:rsidR="00D675F1"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Cu toate acestea, această operațiune trebuie să fie pusă în aplicare la 1.000 de site-uri dacă va fi un instrument eficient pentru reducerea emisiilor de CO2. </w:t>
      </w:r>
    </w:p>
    <w:p w:rsidR="00BE532D" w:rsidRPr="007F452C" w:rsidRDefault="00BE532D" w:rsidP="00E136FC">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Scopul general al DigiMon este de a demonstra disponibilitatea comercială a unui sistem de monitorizare digitală (DigiMon) care este potrivit pentru MMV de stocare a CO2, rentabil și acceptat social. </w:t>
      </w:r>
    </w:p>
    <w:p w:rsidR="00BE532D" w:rsidRPr="007F452C" w:rsidRDefault="00BE532D" w:rsidP="00572799">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Sistemul se va concentra pe:</w:t>
      </w:r>
    </w:p>
    <w:p w:rsidR="00BE532D" w:rsidRPr="007F452C" w:rsidRDefault="00BE532D" w:rsidP="006B6179">
      <w:pPr>
        <w:pStyle w:val="ListParagraph"/>
        <w:numPr>
          <w:ilvl w:val="0"/>
          <w:numId w:val="28"/>
        </w:numPr>
        <w:spacing w:after="120"/>
        <w:jc w:val="both"/>
        <w:rPr>
          <w:rFonts w:ascii="Arial" w:hAnsi="Arial" w:cs="Arial"/>
          <w:sz w:val="20"/>
          <w:szCs w:val="20"/>
          <w:lang w:val="ro-RO"/>
        </w:rPr>
      </w:pPr>
      <w:r w:rsidRPr="007F452C">
        <w:rPr>
          <w:rFonts w:ascii="Arial" w:hAnsi="Arial" w:cs="Arial"/>
          <w:sz w:val="20"/>
          <w:szCs w:val="20"/>
          <w:lang w:val="ro-RO"/>
        </w:rPr>
        <w:t>Monitorizarea mișcării penelor în rezervor folosind în principal măsurători geofizice pasive la distanță ale modificărilor de saturație și presiune (monitorizarea conformității).</w:t>
      </w:r>
    </w:p>
    <w:p w:rsidR="00BE532D" w:rsidRPr="007F452C" w:rsidRDefault="00BE532D" w:rsidP="006B6179">
      <w:pPr>
        <w:pStyle w:val="ListParagraph"/>
        <w:numPr>
          <w:ilvl w:val="0"/>
          <w:numId w:val="28"/>
        </w:numPr>
        <w:spacing w:after="120"/>
        <w:jc w:val="both"/>
        <w:rPr>
          <w:rFonts w:ascii="Arial" w:hAnsi="Arial" w:cs="Arial"/>
          <w:sz w:val="20"/>
          <w:szCs w:val="20"/>
          <w:lang w:val="ro-RO"/>
        </w:rPr>
      </w:pPr>
      <w:r w:rsidRPr="007F452C">
        <w:rPr>
          <w:rFonts w:ascii="Arial" w:hAnsi="Arial" w:cs="Arial"/>
          <w:sz w:val="20"/>
          <w:szCs w:val="20"/>
          <w:lang w:val="ro-RO"/>
        </w:rPr>
        <w:t>Monitorizarea integrității godeului, în principal prin detectarea presiunii în jos, a temperaturii și a tensiunii rocilor (monitorizarea retenției și a contingenței).</w:t>
      </w:r>
    </w:p>
    <w:p w:rsidR="00C76A24" w:rsidRPr="007F452C" w:rsidRDefault="00BE532D" w:rsidP="00D675F1">
      <w:pPr>
        <w:pStyle w:val="ListParagraph"/>
        <w:numPr>
          <w:ilvl w:val="0"/>
          <w:numId w:val="28"/>
        </w:numPr>
        <w:spacing w:after="120"/>
        <w:jc w:val="both"/>
        <w:rPr>
          <w:rFonts w:ascii="Arial" w:hAnsi="Arial" w:cs="Arial"/>
          <w:sz w:val="20"/>
          <w:szCs w:val="20"/>
          <w:lang w:val="ro-RO"/>
        </w:rPr>
      </w:pPr>
      <w:r w:rsidRPr="007F452C">
        <w:rPr>
          <w:rFonts w:ascii="Arial" w:hAnsi="Arial" w:cs="Arial"/>
          <w:sz w:val="20"/>
          <w:szCs w:val="20"/>
          <w:lang w:val="ro-RO"/>
        </w:rPr>
        <w:t>Monitorizarea supraîncărcării, inclusiv monitorizarea migrației de CO2 din zona superioară și detectarea precoce a anomaliilor (monitorizare de retenție și de urgență).</w:t>
      </w:r>
    </w:p>
    <w:p w:rsidR="001E522B" w:rsidRPr="007F452C" w:rsidRDefault="001E522B" w:rsidP="00D675F1">
      <w:pPr>
        <w:pStyle w:val="Heading2"/>
        <w:rPr>
          <w:rFonts w:ascii="Arial" w:hAnsi="Arial" w:cs="Arial"/>
          <w:sz w:val="20"/>
        </w:rPr>
      </w:pPr>
      <w:bookmarkStart w:id="6" w:name="_Toc26091213"/>
      <w:bookmarkStart w:id="7" w:name="_Toc472333826"/>
      <w:r w:rsidRPr="007F452C">
        <w:rPr>
          <w:rStyle w:val="tlid-translation"/>
          <w:rFonts w:ascii="Arial" w:hAnsi="Arial" w:cs="Arial"/>
          <w:sz w:val="20"/>
          <w:lang w:val="ro-RO"/>
        </w:rPr>
        <w:t>Metodologii și tehnologii utilizate pentru obținerea obiectivelor</w:t>
      </w:r>
      <w:bookmarkEnd w:id="6"/>
    </w:p>
    <w:p w:rsidR="00DA5384" w:rsidRPr="007F452C" w:rsidRDefault="001E522B" w:rsidP="00D675F1">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DigiMon va reuni o serie de tehnologii digitale pentru MMV în setările de stocare offshore CO2 pentru a dezvolta un sistem de avertizare timpurie viabil, fiabil și rentabil. Activitățile din DigiMon vor fi organizate în pachete de lucru (WPs), în conformitate cu figura </w:t>
      </w:r>
      <w:r w:rsidR="0098190E" w:rsidRPr="007F452C">
        <w:rPr>
          <w:rStyle w:val="tlid-translation"/>
          <w:rFonts w:ascii="Arial" w:hAnsi="Arial" w:cs="Arial"/>
          <w:sz w:val="20"/>
          <w:szCs w:val="20"/>
          <w:lang w:val="ro-RO"/>
        </w:rPr>
        <w:t>4</w:t>
      </w:r>
      <w:r w:rsidRPr="007F452C">
        <w:rPr>
          <w:rStyle w:val="tlid-translation"/>
          <w:rFonts w:ascii="Arial" w:hAnsi="Arial" w:cs="Arial"/>
          <w:sz w:val="20"/>
          <w:szCs w:val="20"/>
          <w:lang w:val="ro-RO"/>
        </w:rPr>
        <w:t>.</w:t>
      </w:r>
    </w:p>
    <w:p w:rsidR="007D0AB7" w:rsidRPr="007F452C" w:rsidRDefault="007D0AB7" w:rsidP="00DA5384">
      <w:pPr>
        <w:pStyle w:val="ListParagraph"/>
        <w:spacing w:after="120"/>
        <w:ind w:left="0"/>
        <w:rPr>
          <w:rFonts w:ascii="Arial" w:hAnsi="Arial" w:cs="Arial"/>
          <w:sz w:val="20"/>
          <w:szCs w:val="20"/>
          <w:lang w:val="ro-RO"/>
        </w:rPr>
      </w:pPr>
      <w:r w:rsidRPr="007F452C">
        <w:rPr>
          <w:rFonts w:ascii="Arial" w:hAnsi="Arial" w:cs="Arial"/>
          <w:noProof/>
          <w:sz w:val="20"/>
          <w:szCs w:val="20"/>
        </w:rPr>
        <w:drawing>
          <wp:anchor distT="0" distB="0" distL="114300" distR="114300" simplePos="0" relativeHeight="251651072" behindDoc="0" locked="0" layoutInCell="1" allowOverlap="1" wp14:anchorId="3DB3D41D" wp14:editId="36DD2883">
            <wp:simplePos x="0" y="0"/>
            <wp:positionH relativeFrom="column">
              <wp:posOffset>-35305</wp:posOffset>
            </wp:positionH>
            <wp:positionV relativeFrom="paragraph">
              <wp:posOffset>225244</wp:posOffset>
            </wp:positionV>
            <wp:extent cx="4333875" cy="1400810"/>
            <wp:effectExtent l="0" t="0" r="9525" b="8890"/>
            <wp:wrapThrough wrapText="bothSides">
              <wp:wrapPolygon edited="0">
                <wp:start x="0" y="0"/>
                <wp:lineTo x="0" y="21443"/>
                <wp:lineTo x="21553" y="21443"/>
                <wp:lineTo x="21553" y="0"/>
                <wp:lineTo x="0" y="0"/>
              </wp:wrapPolygon>
            </wp:wrapThrough>
            <wp:docPr id="11" name="Picture 1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4333875" cy="1400810"/>
                    </a:xfrm>
                    <a:prstGeom prst="rect">
                      <a:avLst/>
                    </a:prstGeom>
                  </pic:spPr>
                </pic:pic>
              </a:graphicData>
            </a:graphic>
          </wp:anchor>
        </w:drawing>
      </w:r>
    </w:p>
    <w:p w:rsidR="007D0AB7" w:rsidRPr="007F452C" w:rsidRDefault="007D0AB7" w:rsidP="00187695">
      <w:pPr>
        <w:spacing w:after="120" w:line="276" w:lineRule="auto"/>
        <w:jc w:val="left"/>
        <w:rPr>
          <w:rFonts w:ascii="Arial" w:hAnsi="Arial" w:cs="Arial"/>
          <w:b/>
          <w:i/>
          <w:sz w:val="20"/>
          <w:szCs w:val="20"/>
          <w:lang w:val="en-US"/>
        </w:rPr>
      </w:pPr>
      <w:proofErr w:type="gramStart"/>
      <w:r w:rsidRPr="007F452C">
        <w:rPr>
          <w:rFonts w:ascii="Arial" w:hAnsi="Arial" w:cs="Arial"/>
          <w:b/>
          <w:bCs/>
          <w:sz w:val="20"/>
          <w:szCs w:val="20"/>
          <w:lang w:val="en-US"/>
        </w:rPr>
        <w:t>Figur</w:t>
      </w:r>
      <w:r w:rsidR="00DA5384" w:rsidRPr="007F452C">
        <w:rPr>
          <w:rFonts w:ascii="Arial" w:hAnsi="Arial" w:cs="Arial"/>
          <w:b/>
          <w:bCs/>
          <w:sz w:val="20"/>
          <w:szCs w:val="20"/>
          <w:lang w:val="en-US"/>
        </w:rPr>
        <w:t>a</w:t>
      </w:r>
      <w:r w:rsidR="0098190E" w:rsidRPr="007F452C">
        <w:rPr>
          <w:rFonts w:ascii="Arial" w:hAnsi="Arial" w:cs="Arial"/>
          <w:b/>
          <w:bCs/>
          <w:sz w:val="20"/>
          <w:szCs w:val="20"/>
          <w:lang w:val="en-US"/>
        </w:rPr>
        <w:t>4</w:t>
      </w:r>
      <w:r w:rsidR="001E522B" w:rsidRPr="007F452C">
        <w:rPr>
          <w:rFonts w:ascii="Arial" w:hAnsi="Arial" w:cs="Arial"/>
          <w:b/>
          <w:bCs/>
          <w:sz w:val="20"/>
          <w:szCs w:val="20"/>
          <w:lang w:val="en-US"/>
        </w:rPr>
        <w:t>.</w:t>
      </w:r>
      <w:r w:rsidRPr="007F452C">
        <w:rPr>
          <w:rFonts w:ascii="Arial" w:hAnsi="Arial" w:cs="Arial"/>
          <w:b/>
          <w:bCs/>
          <w:sz w:val="20"/>
          <w:szCs w:val="20"/>
          <w:lang w:val="en-US"/>
        </w:rPr>
        <w:t>:</w:t>
      </w:r>
      <w:proofErr w:type="gramEnd"/>
      <w:r w:rsidR="007A19B7" w:rsidRPr="007F452C">
        <w:rPr>
          <w:rFonts w:ascii="Arial" w:hAnsi="Arial" w:cs="Arial"/>
          <w:b/>
          <w:bCs/>
          <w:i/>
          <w:sz w:val="20"/>
          <w:szCs w:val="20"/>
          <w:lang w:val="en-US"/>
        </w:rPr>
        <w:t xml:space="preserve"> </w:t>
      </w:r>
      <w:r w:rsidR="001E522B" w:rsidRPr="007F452C">
        <w:rPr>
          <w:rFonts w:ascii="Arial" w:hAnsi="Arial" w:cs="Arial"/>
          <w:bCs/>
          <w:sz w:val="20"/>
          <w:szCs w:val="20"/>
          <w:lang w:val="en-US"/>
        </w:rPr>
        <w:t xml:space="preserve">Structura Pachetelor de Lucru (WP) pentru proiectul </w:t>
      </w:r>
      <w:r w:rsidRPr="007F452C">
        <w:rPr>
          <w:rFonts w:ascii="Arial" w:hAnsi="Arial" w:cs="Arial"/>
          <w:bCs/>
          <w:sz w:val="20"/>
          <w:szCs w:val="20"/>
          <w:lang w:val="en-US"/>
        </w:rPr>
        <w:t>DigiMon</w:t>
      </w:r>
    </w:p>
    <w:p w:rsidR="007D0AB7" w:rsidRPr="007F452C" w:rsidRDefault="007D0AB7" w:rsidP="00187695">
      <w:pPr>
        <w:spacing w:after="120" w:line="276" w:lineRule="auto"/>
        <w:jc w:val="center"/>
        <w:rPr>
          <w:rFonts w:ascii="Arial" w:hAnsi="Arial" w:cs="Arial"/>
          <w:b/>
          <w:bCs/>
          <w:sz w:val="20"/>
          <w:szCs w:val="20"/>
          <w:lang w:val="en-US"/>
        </w:rPr>
      </w:pPr>
    </w:p>
    <w:p w:rsidR="007D0AB7" w:rsidRPr="007F452C" w:rsidRDefault="007D0AB7" w:rsidP="00187695">
      <w:pPr>
        <w:spacing w:after="120" w:line="276" w:lineRule="auto"/>
        <w:rPr>
          <w:rFonts w:ascii="Arial" w:hAnsi="Arial" w:cs="Arial"/>
          <w:sz w:val="20"/>
          <w:szCs w:val="20"/>
          <w:lang w:val="en-US"/>
        </w:rPr>
      </w:pPr>
    </w:p>
    <w:p w:rsidR="007D0AB7" w:rsidRPr="007F452C" w:rsidRDefault="007D0AB7" w:rsidP="00187695">
      <w:pPr>
        <w:spacing w:after="120" w:line="276" w:lineRule="auto"/>
        <w:rPr>
          <w:rFonts w:ascii="Arial" w:hAnsi="Arial" w:cs="Arial"/>
          <w:sz w:val="20"/>
          <w:szCs w:val="20"/>
          <w:lang w:val="en-US"/>
        </w:rPr>
      </w:pPr>
    </w:p>
    <w:p w:rsidR="00220DDE" w:rsidRDefault="00220DDE" w:rsidP="00187695">
      <w:pPr>
        <w:spacing w:after="120" w:line="276" w:lineRule="auto"/>
        <w:rPr>
          <w:rStyle w:val="tlid-translation"/>
          <w:rFonts w:ascii="Arial" w:hAnsi="Arial" w:cs="Arial"/>
          <w:sz w:val="20"/>
          <w:szCs w:val="20"/>
          <w:lang w:val="ro-RO"/>
        </w:rPr>
      </w:pPr>
    </w:p>
    <w:p w:rsidR="00220DDE"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Primul pachet de lucru (WP1) va lucra la sistemul individual, al doilea (WP2) la combinarea tehnologiilor pentru a produce un sistem integrat și al treilea (WP3) pentru a ține cont de acceptabilitatea socială a proiectelor de stocare a CO2. </w:t>
      </w:r>
    </w:p>
    <w:p w:rsidR="00D675F1"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WP1 se concentrează asupra elementelor tehnologice critice și va sublinia aducerea lor la un nivel ridicat de pregătire tehnică (TRL). </w:t>
      </w:r>
    </w:p>
    <w:p w:rsidR="001E522B"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WP2 integrează componentele WP1 într-un sistem de monitorizare accesibil și livrabil, cu un TRL ridicat. Acceptarea socială și înțelegerea publică a tehnologiilor CCS în general sunt esențiale în adoptarea mai largă a CCS. WP3 abordează acest aspect. </w:t>
      </w:r>
    </w:p>
    <w:p w:rsidR="00D675F1"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WP4 oferă structura de management pentru proiect, integrând fiecare dintre pachetele de lucru componente.WP4 va gestiona proiectul general și va asigura o bună comunicare și schimb de informații între parteneri și va asigura că proiectul este livrat la timp și la buget. </w:t>
      </w:r>
    </w:p>
    <w:p w:rsidR="001E522B" w:rsidRPr="007F452C" w:rsidRDefault="001E522B" w:rsidP="00187695">
      <w:pPr>
        <w:spacing w:after="120" w:line="276" w:lineRule="auto"/>
        <w:rPr>
          <w:rFonts w:ascii="Arial" w:hAnsi="Arial" w:cs="Arial"/>
          <w:sz w:val="20"/>
          <w:szCs w:val="20"/>
          <w:lang w:val="en-US"/>
        </w:rPr>
      </w:pPr>
      <w:r w:rsidRPr="007F452C">
        <w:rPr>
          <w:rStyle w:val="tlid-translation"/>
          <w:rFonts w:ascii="Arial" w:hAnsi="Arial" w:cs="Arial"/>
          <w:sz w:val="20"/>
          <w:szCs w:val="20"/>
          <w:lang w:val="ro-RO"/>
        </w:rPr>
        <w:t>În fig</w:t>
      </w:r>
      <w:r w:rsidR="00220DDE">
        <w:rPr>
          <w:rStyle w:val="tlid-translation"/>
          <w:rFonts w:ascii="Arial" w:hAnsi="Arial" w:cs="Arial"/>
          <w:sz w:val="20"/>
          <w:szCs w:val="20"/>
          <w:lang w:val="ro-RO"/>
        </w:rPr>
        <w:t>. 5</w:t>
      </w:r>
      <w:bookmarkStart w:id="8" w:name="_GoBack"/>
      <w:bookmarkEnd w:id="8"/>
      <w:r w:rsidR="00220DDE">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este prezentată o diagramă de flux care ilustrează modul în care sunt legate diferite pachete de lucru.</w:t>
      </w:r>
    </w:p>
    <w:p w:rsidR="007D0AB7" w:rsidRPr="007F452C" w:rsidRDefault="007D0AB7" w:rsidP="00187695">
      <w:pPr>
        <w:spacing w:after="120" w:line="276" w:lineRule="auto"/>
        <w:rPr>
          <w:rFonts w:ascii="Arial" w:hAnsi="Arial" w:cs="Arial"/>
          <w:sz w:val="20"/>
          <w:szCs w:val="20"/>
          <w:lang w:val="en-US"/>
        </w:rPr>
      </w:pPr>
      <w:r w:rsidRPr="007F452C">
        <w:rPr>
          <w:rFonts w:ascii="Arial" w:hAnsi="Arial" w:cs="Arial"/>
          <w:noProof/>
          <w:sz w:val="20"/>
          <w:szCs w:val="20"/>
          <w:lang w:val="en-US"/>
        </w:rPr>
        <w:lastRenderedPageBreak/>
        <w:drawing>
          <wp:inline distT="0" distB="0" distL="0" distR="0" wp14:anchorId="5D680A78" wp14:editId="7B669879">
            <wp:extent cx="5723906" cy="3219586"/>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kflow.pdf"/>
                    <pic:cNvPicPr/>
                  </pic:nvPicPr>
                  <pic:blipFill>
                    <a:blip r:embed="rId18">
                      <a:extLst>
                        <a:ext uri="{28A0092B-C50C-407E-A947-70E740481C1C}">
                          <a14:useLocalDpi xmlns:a14="http://schemas.microsoft.com/office/drawing/2010/main" val="0"/>
                        </a:ext>
                      </a:extLst>
                    </a:blip>
                    <a:stretch>
                      <a:fillRect/>
                    </a:stretch>
                  </pic:blipFill>
                  <pic:spPr>
                    <a:xfrm>
                      <a:off x="0" y="0"/>
                      <a:ext cx="5724512" cy="3219927"/>
                    </a:xfrm>
                    <a:prstGeom prst="rect">
                      <a:avLst/>
                    </a:prstGeom>
                  </pic:spPr>
                </pic:pic>
              </a:graphicData>
            </a:graphic>
          </wp:inline>
        </w:drawing>
      </w:r>
    </w:p>
    <w:p w:rsidR="00580186"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b/>
          <w:sz w:val="20"/>
          <w:szCs w:val="20"/>
          <w:lang w:val="ro-RO"/>
        </w:rPr>
        <w:t>Fig</w:t>
      </w:r>
      <w:r w:rsidR="00220DDE">
        <w:rPr>
          <w:rStyle w:val="tlid-translation"/>
          <w:rFonts w:ascii="Arial" w:hAnsi="Arial" w:cs="Arial"/>
          <w:b/>
          <w:sz w:val="20"/>
          <w:szCs w:val="20"/>
          <w:lang w:val="ro-RO"/>
        </w:rPr>
        <w:t>. 5</w:t>
      </w:r>
      <w:r w:rsidRPr="007F452C">
        <w:rPr>
          <w:rStyle w:val="tlid-translation"/>
          <w:rFonts w:ascii="Arial" w:hAnsi="Arial" w:cs="Arial"/>
          <w:b/>
          <w:sz w:val="20"/>
          <w:szCs w:val="20"/>
          <w:lang w:val="ro-RO"/>
        </w:rPr>
        <w:t>.</w:t>
      </w:r>
      <w:r w:rsidRPr="007F452C">
        <w:rPr>
          <w:rStyle w:val="tlid-translation"/>
          <w:rFonts w:ascii="Arial" w:hAnsi="Arial" w:cs="Arial"/>
          <w:sz w:val="20"/>
          <w:szCs w:val="20"/>
          <w:lang w:val="ro-RO"/>
        </w:rPr>
        <w:t xml:space="preserve">: O diagramă de flux care ilustrează componentele principale ale proiectului și modul în care acestea se raportează între ele. </w:t>
      </w:r>
    </w:p>
    <w:p w:rsidR="001E522B"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Culorile reprezintă diferite pachete de lucru, albastru - WP1, verde - WP2, galben - WP3 și gri - WP4.</w:t>
      </w:r>
    </w:p>
    <w:p w:rsidR="00580186"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secțiunile următoare sunt prezentate metodologiile și tehnologiile utilizate pentru obținerea obiectivelor generale ale proiectului. </w:t>
      </w:r>
    </w:p>
    <w:p w:rsidR="00C76A24"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Descrierile sunt conform structurii pachetului de lucru de mai sus.</w:t>
      </w:r>
    </w:p>
    <w:p w:rsidR="001E522B" w:rsidRPr="007F452C" w:rsidRDefault="001E522B" w:rsidP="00C03001">
      <w:pPr>
        <w:pStyle w:val="Heading1"/>
        <w:spacing w:before="480"/>
        <w:ind w:left="1138" w:hanging="1138"/>
        <w:rPr>
          <w:rFonts w:ascii="Arial" w:hAnsi="Arial" w:cs="Arial"/>
          <w:sz w:val="20"/>
        </w:rPr>
      </w:pPr>
      <w:bookmarkStart w:id="9" w:name="_Toc26091214"/>
      <w:r w:rsidRPr="007F452C">
        <w:rPr>
          <w:rStyle w:val="tlid-translation"/>
          <w:rFonts w:ascii="Arial" w:hAnsi="Arial" w:cs="Arial"/>
          <w:sz w:val="20"/>
        </w:rPr>
        <w:t>Elemente tehnologice critice</w:t>
      </w:r>
      <w:bookmarkEnd w:id="9"/>
    </w:p>
    <w:p w:rsidR="001E522B"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Scopul acest</w:t>
      </w:r>
      <w:r w:rsidR="00DA5384" w:rsidRPr="007F452C">
        <w:rPr>
          <w:rStyle w:val="tlid-translation"/>
          <w:rFonts w:ascii="Arial" w:hAnsi="Arial" w:cs="Arial"/>
          <w:sz w:val="20"/>
          <w:szCs w:val="20"/>
          <w:lang w:val="ro-RO"/>
        </w:rPr>
        <w:t xml:space="preserve">ei activitati </w:t>
      </w:r>
      <w:r w:rsidRPr="007F452C">
        <w:rPr>
          <w:rStyle w:val="tlid-translation"/>
          <w:rFonts w:ascii="Arial" w:hAnsi="Arial" w:cs="Arial"/>
          <w:sz w:val="20"/>
          <w:szCs w:val="20"/>
          <w:lang w:val="ro-RO"/>
        </w:rPr>
        <w:t xml:space="preserve">este dezvoltarea tehnologiei fiecărei componente a strategiei de monitorizare DigiMon, până la punctul în care toate sunt la TRL-uri similare și pot fi aplicate la costuri minime. </w:t>
      </w:r>
    </w:p>
    <w:p w:rsidR="00DA5384" w:rsidRPr="007F452C" w:rsidRDefault="001E522B" w:rsidP="00DA538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Pentru a </w:t>
      </w:r>
      <w:r w:rsidR="00DA5384" w:rsidRPr="007F452C">
        <w:rPr>
          <w:rStyle w:val="tlid-translation"/>
          <w:rFonts w:ascii="Arial" w:hAnsi="Arial" w:cs="Arial"/>
          <w:sz w:val="20"/>
          <w:szCs w:val="20"/>
          <w:lang w:val="ro-RO"/>
        </w:rPr>
        <w:t xml:space="preserve">realiza </w:t>
      </w:r>
      <w:r w:rsidRPr="007F452C">
        <w:rPr>
          <w:rStyle w:val="tlid-translation"/>
          <w:rFonts w:ascii="Arial" w:hAnsi="Arial" w:cs="Arial"/>
          <w:sz w:val="20"/>
          <w:szCs w:val="20"/>
          <w:lang w:val="ro-RO"/>
        </w:rPr>
        <w:t xml:space="preserve">acest </w:t>
      </w:r>
      <w:r w:rsidR="00DA5384" w:rsidRPr="007F452C">
        <w:rPr>
          <w:rStyle w:val="tlid-translation"/>
          <w:rFonts w:ascii="Arial" w:hAnsi="Arial" w:cs="Arial"/>
          <w:sz w:val="20"/>
          <w:szCs w:val="20"/>
          <w:lang w:val="ro-RO"/>
        </w:rPr>
        <w:t xml:space="preserve">aspect, </w:t>
      </w:r>
      <w:r w:rsidRPr="007F452C">
        <w:rPr>
          <w:rStyle w:val="tlid-translation"/>
          <w:rFonts w:ascii="Arial" w:hAnsi="Arial" w:cs="Arial"/>
          <w:sz w:val="20"/>
          <w:szCs w:val="20"/>
          <w:lang w:val="ro-RO"/>
        </w:rPr>
        <w:t xml:space="preserve">mai multe </w:t>
      </w:r>
      <w:r w:rsidR="00DA5384" w:rsidRPr="007F452C">
        <w:rPr>
          <w:rStyle w:val="tlid-translation"/>
          <w:rFonts w:ascii="Arial" w:hAnsi="Arial" w:cs="Arial"/>
          <w:sz w:val="20"/>
          <w:szCs w:val="20"/>
          <w:lang w:val="ro-RO"/>
        </w:rPr>
        <w:t xml:space="preserve">subactivitati </w:t>
      </w:r>
      <w:r w:rsidRPr="007F452C">
        <w:rPr>
          <w:rStyle w:val="tlid-translation"/>
          <w:rFonts w:ascii="Arial" w:hAnsi="Arial" w:cs="Arial"/>
          <w:sz w:val="20"/>
          <w:szCs w:val="20"/>
          <w:lang w:val="ro-RO"/>
        </w:rPr>
        <w:t>sunt necesare și metodologiile care vor fi utilizate sunt prezentate mai jos.</w:t>
      </w:r>
    </w:p>
    <w:p w:rsidR="001E522B" w:rsidRPr="007F452C" w:rsidRDefault="001E522B" w:rsidP="00DA5384">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Provocările cheie care trebuie abordate sunt:</w:t>
      </w:r>
    </w:p>
    <w:p w:rsidR="001E522B" w:rsidRPr="007F452C" w:rsidRDefault="001E522B" w:rsidP="00187695">
      <w:pPr>
        <w:pStyle w:val="ListParagraph"/>
        <w:numPr>
          <w:ilvl w:val="0"/>
          <w:numId w:val="40"/>
        </w:numPr>
        <w:spacing w:after="120"/>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 Analiza procesului și </w:t>
      </w:r>
      <w:r w:rsidR="004B35D2" w:rsidRPr="007F452C">
        <w:rPr>
          <w:rStyle w:val="tlid-translation"/>
          <w:rFonts w:ascii="Arial" w:hAnsi="Arial" w:cs="Arial"/>
          <w:sz w:val="20"/>
          <w:szCs w:val="20"/>
          <w:lang w:val="ro-RO"/>
        </w:rPr>
        <w:t xml:space="preserve">a </w:t>
      </w:r>
      <w:r w:rsidRPr="007F452C">
        <w:rPr>
          <w:rStyle w:val="tlid-translation"/>
          <w:rFonts w:ascii="Arial" w:hAnsi="Arial" w:cs="Arial"/>
          <w:sz w:val="20"/>
          <w:szCs w:val="20"/>
          <w:lang w:val="ro-RO"/>
        </w:rPr>
        <w:t>sistemului. Soluții pentru arhitectura sistemului</w:t>
      </w:r>
    </w:p>
    <w:p w:rsidR="001E522B" w:rsidRPr="007F452C" w:rsidRDefault="001E522B" w:rsidP="00187695">
      <w:pPr>
        <w:pStyle w:val="ListParagraph"/>
        <w:numPr>
          <w:ilvl w:val="0"/>
          <w:numId w:val="40"/>
        </w:numPr>
        <w:spacing w:after="120"/>
        <w:rPr>
          <w:rStyle w:val="tlid-translation"/>
          <w:rFonts w:ascii="Arial" w:hAnsi="Arial" w:cs="Arial"/>
          <w:sz w:val="20"/>
          <w:szCs w:val="20"/>
          <w:lang w:val="ro-RO"/>
        </w:rPr>
      </w:pPr>
      <w:r w:rsidRPr="007F452C">
        <w:rPr>
          <w:rStyle w:val="tlid-translation"/>
          <w:rFonts w:ascii="Arial" w:hAnsi="Arial" w:cs="Arial"/>
          <w:sz w:val="20"/>
          <w:szCs w:val="20"/>
          <w:lang w:val="ro-RO"/>
        </w:rPr>
        <w:t>Analiza în timp real a seturilor de date mari;</w:t>
      </w:r>
    </w:p>
    <w:p w:rsidR="001E522B" w:rsidRPr="007F452C" w:rsidRDefault="001E522B" w:rsidP="00187695">
      <w:pPr>
        <w:pStyle w:val="ListParagraph"/>
        <w:numPr>
          <w:ilvl w:val="1"/>
          <w:numId w:val="28"/>
        </w:numPr>
        <w:spacing w:after="120"/>
        <w:ind w:left="720"/>
        <w:rPr>
          <w:rStyle w:val="tlid-translation"/>
          <w:rFonts w:ascii="Arial" w:hAnsi="Arial" w:cs="Arial"/>
          <w:sz w:val="20"/>
          <w:szCs w:val="20"/>
          <w:lang w:val="ro-RO"/>
        </w:rPr>
      </w:pPr>
      <w:r w:rsidRPr="007F452C">
        <w:rPr>
          <w:rStyle w:val="tlid-translation"/>
          <w:rFonts w:ascii="Arial" w:hAnsi="Arial" w:cs="Arial"/>
          <w:sz w:val="20"/>
          <w:szCs w:val="20"/>
          <w:lang w:val="ro-RO"/>
        </w:rPr>
        <w:t>Caracterul cu 1 component al datelor dintr-un singur cablu liniar;</w:t>
      </w:r>
    </w:p>
    <w:p w:rsidR="001E522B" w:rsidRPr="007F452C" w:rsidRDefault="001E522B" w:rsidP="00187695">
      <w:pPr>
        <w:pStyle w:val="ListParagraph"/>
        <w:numPr>
          <w:ilvl w:val="1"/>
          <w:numId w:val="28"/>
        </w:numPr>
        <w:spacing w:after="120"/>
        <w:ind w:left="720"/>
        <w:rPr>
          <w:rStyle w:val="tlid-translation"/>
          <w:rFonts w:ascii="Arial" w:hAnsi="Arial" w:cs="Arial"/>
          <w:sz w:val="20"/>
          <w:szCs w:val="20"/>
          <w:lang w:val="ro-RO"/>
        </w:rPr>
      </w:pPr>
      <w:r w:rsidRPr="007F452C">
        <w:rPr>
          <w:rStyle w:val="tlid-translation"/>
          <w:rFonts w:ascii="Arial" w:hAnsi="Arial" w:cs="Arial"/>
          <w:sz w:val="20"/>
          <w:szCs w:val="20"/>
          <w:lang w:val="ro-RO"/>
        </w:rPr>
        <w:t>Determinarea funcției de transfer de fibre;</w:t>
      </w:r>
    </w:p>
    <w:p w:rsidR="001E522B" w:rsidRPr="007F452C" w:rsidRDefault="001E522B" w:rsidP="00187695">
      <w:pPr>
        <w:pStyle w:val="ListParagraph"/>
        <w:numPr>
          <w:ilvl w:val="1"/>
          <w:numId w:val="28"/>
        </w:numPr>
        <w:spacing w:after="120"/>
        <w:ind w:left="720"/>
        <w:rPr>
          <w:rStyle w:val="tlid-translation"/>
          <w:rFonts w:ascii="Arial" w:hAnsi="Arial" w:cs="Arial"/>
          <w:sz w:val="20"/>
          <w:szCs w:val="20"/>
          <w:lang w:val="ro-RO"/>
        </w:rPr>
      </w:pPr>
      <w:r w:rsidRPr="007F452C">
        <w:rPr>
          <w:rStyle w:val="tlid-translation"/>
          <w:rFonts w:ascii="Arial" w:hAnsi="Arial" w:cs="Arial"/>
          <w:sz w:val="20"/>
          <w:szCs w:val="20"/>
          <w:lang w:val="ro-RO"/>
        </w:rPr>
        <w:t>Permite compararea directă cu metodele tradiționale (de exemplu, date geofonice);</w:t>
      </w:r>
    </w:p>
    <w:p w:rsidR="001E522B" w:rsidRPr="007F452C" w:rsidRDefault="001E522B" w:rsidP="00187695">
      <w:pPr>
        <w:pStyle w:val="ListParagraph"/>
        <w:numPr>
          <w:ilvl w:val="1"/>
          <w:numId w:val="28"/>
        </w:numPr>
        <w:spacing w:after="120"/>
        <w:ind w:left="720"/>
        <w:rPr>
          <w:rFonts w:ascii="Arial" w:hAnsi="Arial" w:cs="Arial"/>
          <w:b/>
          <w:i/>
          <w:sz w:val="20"/>
          <w:szCs w:val="20"/>
        </w:rPr>
      </w:pPr>
      <w:r w:rsidRPr="007F452C">
        <w:rPr>
          <w:rStyle w:val="tlid-translation"/>
          <w:rFonts w:ascii="Arial" w:hAnsi="Arial" w:cs="Arial"/>
          <w:sz w:val="20"/>
          <w:szCs w:val="20"/>
          <w:lang w:val="ro-RO"/>
        </w:rPr>
        <w:t>Cerințe de date DAS pentru studii de zgomot ambiental.</w:t>
      </w:r>
    </w:p>
    <w:p w:rsidR="00C76A24" w:rsidRPr="007F452C" w:rsidRDefault="00C76A24" w:rsidP="008A1718">
      <w:pPr>
        <w:pStyle w:val="Heading2"/>
        <w:rPr>
          <w:rStyle w:val="tlid-translation"/>
          <w:rFonts w:ascii="Arial" w:hAnsi="Arial" w:cs="Arial"/>
          <w:sz w:val="20"/>
          <w:lang w:val="ro-RO"/>
        </w:rPr>
      </w:pPr>
      <w:bookmarkStart w:id="10" w:name="_Toc26091215"/>
      <w:r w:rsidRPr="007F452C">
        <w:rPr>
          <w:rStyle w:val="tlid-translation"/>
          <w:rFonts w:ascii="Arial" w:hAnsi="Arial" w:cs="Arial"/>
          <w:sz w:val="20"/>
          <w:lang w:val="ro-RO"/>
        </w:rPr>
        <w:t>Standardizare și planuri de comunicare</w:t>
      </w:r>
      <w:bookmarkEnd w:id="10"/>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Telecomunicațiile, rețelele și distribuția de energie în mediul submarin sunt considerate tehnologii mature și au fost implementate pentru diverse aplicații din întreaga lume. Cablurile de traversare în fibra optică pentru comunicare digitală sunt coloana vertebrală a Internetului de astăzi și un număr din ce în ce mai mare de câmpuri off</w:t>
      </w:r>
      <w:r w:rsidR="00DA5384"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shore sunt conectate la mal prin intermediul cablului cu fibră optică, iar distribuția de curent </w:t>
      </w:r>
      <w:r w:rsidRPr="007F452C">
        <w:rPr>
          <w:rStyle w:val="tlid-translation"/>
          <w:rFonts w:ascii="Arial" w:hAnsi="Arial" w:cs="Arial"/>
          <w:sz w:val="20"/>
          <w:szCs w:val="20"/>
          <w:lang w:val="ro-RO"/>
        </w:rPr>
        <w:lastRenderedPageBreak/>
        <w:t>alternativ și curent continuu este în uz obișnuit pentru a alimenta platformele offshore sau pentru a transfera puterea spre țărm.</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 plan local, pentru câmpurile off-shore, au existat numeroase inițiative pentru standardizarea interfețelor pentru diferite tipuri de instrumente și senzori. Unele dintre aceste eforturi au fost direcționate către echipamente legate de măsurătorile capului puțului, dar pot fi extinse și la alți senzori și instrumente care acoperă terenul. </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In materie de mediu se urmărește activitatea  la JIP-ul de standardizare a interfeței Subsea Instrumentation JIP (SIIS), care este un proiect industrial comun (JIP), cu obiectivul de a realiza îmbunătățiri ale fiabilității subterane (https://siis-jip.com/) . </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Scopul este standardizarea interfeței dintre senzorii submarini și sistemul de control submarină. Acoperă trei niveluri, începând cu senzorul analogic folosind o buclă de curent standard până la versiunea actuală de nivel 3, unde este specificat Ethernet standard de 100 Mbps.</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Mai mulți operatori, inclusiv Equinor și OCTIO participă (OCTIO urmărește activitatea) în rețeaua industriei petrolului și a gazelor Subsea Wireless Group (SWiG) pentru standardizarea comunicațiilor wireless submarine. </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Membrii SWiG lucrează împreună pentru a defini standarde care facilitează interoperabilitatea între tehnologiile wireless submarine ale utilizatorilor (acustică, frecvență radio, optică spațiu liber și transfer de putere inductivă). SWiG a dezvoltat un standard pentru comunicații radio submarine și lucrează în acest moment la standardizarea comunicării acustice bazate pe JANUS, un protocol acustic simplu cu acces multiplu proiectat și testat de Centrul NATO de Cercetare și Experiență Maritimă (CMRE). Proiectul DigiMon va evalua și implementa standardele SWiG relevante pe măsură ce vor deveni maturi.</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Pentru monitorizarea Fibreoptic, Grupul de monitorizare a fibrei optice SEAFOM Subsea este un forum comun al industriei dedicat promovării creșterii fibrelor optice în aplicații submarine. SEAFOM lucrează la dezvoltarea practicilor și procedurilor „recomandate de industrie” pentru i.a. Senzor acustic distribuit și conectori fibreoptici.</w:t>
      </w:r>
    </w:p>
    <w:p w:rsidR="00220DDE"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SWiG, SIIS și SEAFOM sunt toate inițiativele operatorilor O&amp;G și sunt gestionate de consultanța OTM. Există, de asemenea, alte organizații care lucrează la îmbunătățirea fiabilității și la reducerea costurilor de comunicare și transfer de energie pentru sistemele cu senzori.</w:t>
      </w:r>
    </w:p>
    <w:p w:rsidR="00C76A24" w:rsidRPr="007F452C" w:rsidRDefault="00C76A24" w:rsidP="00DA5384">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Un alt „standard” de comunicare și putere submarină este tehnologia DC / FO de la Equinor și Alcatel, destinată să servească toate aplicațiile pentru infrastructura sistemului de control submarină. Oferă comunicare cu fibră optică și curent continuu la instrumentarea submarină și poate fi utilizat pentru a oferi hub-uri pentru implementarea în continuare a rețelelor de senzori bazate pe standarde.</w:t>
      </w:r>
    </w:p>
    <w:p w:rsidR="00875902" w:rsidRPr="007F452C" w:rsidRDefault="00C76A24" w:rsidP="008A1718">
      <w:pPr>
        <w:pStyle w:val="ListParagraph"/>
        <w:spacing w:after="120"/>
        <w:ind w:left="0"/>
        <w:jc w:val="both"/>
        <w:rPr>
          <w:rFonts w:ascii="Arial" w:hAnsi="Arial" w:cs="Arial"/>
          <w:sz w:val="20"/>
          <w:szCs w:val="20"/>
          <w:lang w:val="ro-RO"/>
        </w:rPr>
      </w:pPr>
      <w:r w:rsidRPr="007F452C">
        <w:rPr>
          <w:rStyle w:val="tlid-translation"/>
          <w:rFonts w:ascii="Arial" w:hAnsi="Arial" w:cs="Arial"/>
          <w:sz w:val="20"/>
          <w:szCs w:val="20"/>
          <w:lang w:val="ro-RO"/>
        </w:rPr>
        <w:t>Pentru schimbul seturilor de date, există diverse standarde de format de date care sunt utilizate. Două exemple sunt Energistică, cu standarde de date O&amp;G pentru foraj, producție și date de rezervor și Societatea Geofizicienilor de Explorare (SEG), cu standarde pentru achiziția și prelucrarea datelor geofizice.</w:t>
      </w:r>
    </w:p>
    <w:p w:rsidR="00C76A24" w:rsidRPr="007F452C" w:rsidRDefault="00C76A24" w:rsidP="008A1718">
      <w:pPr>
        <w:pStyle w:val="Heading2"/>
        <w:rPr>
          <w:rFonts w:ascii="Arial" w:hAnsi="Arial" w:cs="Arial"/>
          <w:sz w:val="20"/>
        </w:rPr>
      </w:pPr>
      <w:bookmarkStart w:id="11" w:name="_Toc26091216"/>
      <w:r w:rsidRPr="007F452C">
        <w:rPr>
          <w:rFonts w:ascii="Arial" w:hAnsi="Arial" w:cs="Arial"/>
          <w:sz w:val="20"/>
        </w:rPr>
        <w:t>Cercetări recente relevante ale partenerilor DigiMon</w:t>
      </w:r>
      <w:bookmarkEnd w:id="11"/>
    </w:p>
    <w:p w:rsidR="00DA538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Partenerii DigiMon au o experiență semnificativă în monitorizarea rezervoarelor de stocare a CO2 și a câmpurilor producătoare de hidrocarburi, atât offshore cât și onshore. Partenerii includ întreaga gamă de părți interesate necesare pentru a pune în funcțiune un sistem de monitorizare, inclusiv furnizori de instrumente (de exemplu, Silixa, OCTIOenvironmental), furnizori de cercetare (de exemplu, universități) și operatori (de exemplu, Equinor).</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În procesarea seismică activă, personalul NTNU are o istorie semnificativă în cercetarea maritimă a proceselor de cercetare seismică (de exemplu, Landrø, 2001) și în procesarea datelor VSP (de exemplu, Landrø, 1999). </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În special, grupul de geofizică aplicată a finalizat recent proiecte de îmbunătățire a calității datelor (Haavik și Landrø, 2017) și repetabilitatea (Waage și colab., 2018; Dinh și colab., 2017) a sondajelor seismice. Aceștia au efectuat o cercetare semnificativă asupra datelor colectate la proiectele de stocare a CO2, în special a câmpurilor Sleipner și Snøvhit, pentru a înțelege evoluția penajului CO2 (Kiær et al. 2016) și a estima </w:t>
      </w:r>
      <w:r w:rsidRPr="007F452C">
        <w:rPr>
          <w:rFonts w:ascii="Arial" w:hAnsi="Arial" w:cs="Arial"/>
          <w:sz w:val="20"/>
          <w:szCs w:val="20"/>
          <w:lang w:val="ro-RO"/>
        </w:rPr>
        <w:lastRenderedPageBreak/>
        <w:t>saturația și grosimea CO2 utilizând date reale și tehnici de modelare (Ghaderi și Landrø, 2009; Grude et al., 2013; Grude și colab., 2014; Kiær, 2015; Landrø și Zumberge, 2017;). Prof. Martin Landrø are, de asemenea, experiență în procesarea sondajelor de refracție în timp pentru depistarea acumulărilor de gaze superficiale (Zadeh și Landrø, 2011).</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OCTIO operează un sistem permanent de monitorizare caprock (PRM) în câmpul Oseberg, pe raftul continental norvegian. OCTIOenvironmental are acces la această tehnologie pentru aplicații din afara industriei de petrol și gaze. Acest sistem monitorizează o sondă de injecție cu apă reziduală pentru seismicitate indusă de injecții potențiale și a fost primul sistem seismic offshore cu monitorizare micro-seismică ca principală aplicație. </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OCTIOenvironmental deține, de asemenea, tehnologie pentru gravitatea 4D la monitorizarea deformațiilor de pe malul mării și a mării, care s-a dovedit a fi un instrument de monitorizare eficient din punct de vedere al costurilor pentru proiectele de sechestrare a CO2 (Alnes et al. 2011; Ruiz H. et al., 2017).</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Atât UoB, cât și TNO au o expertiză considerabilă în ceea ce privește monitorizarea microseismică convențională a datelor seismice pasive colectate pe site-urile CCS (de exemplu, Weyburn, C</w:t>
      </w:r>
      <w:r w:rsidR="003B2F91" w:rsidRPr="007F452C">
        <w:rPr>
          <w:rFonts w:ascii="Arial" w:hAnsi="Arial" w:cs="Arial"/>
          <w:sz w:val="20"/>
          <w:szCs w:val="20"/>
          <w:lang w:val="ro-RO"/>
        </w:rPr>
        <w:t>a</w:t>
      </w:r>
      <w:r w:rsidRPr="007F452C">
        <w:rPr>
          <w:rFonts w:ascii="Arial" w:hAnsi="Arial" w:cs="Arial"/>
          <w:sz w:val="20"/>
          <w:szCs w:val="20"/>
          <w:lang w:val="ro-RO"/>
        </w:rPr>
        <w:t>nada (Verdon și colab., 2011); În Salah, Algeria (Stork și colab., 2015); Ketzin, Germania (Arts și colab., 2013; Paap și Steeghs, 2016); Aquistore, Canada (Stork și colab., 2018a); precum și site-ul Hontomin din Spania).</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În plus față de datele de monitorizare CCS, Grupul de Geofizică UoB a lucrat cu numeroase seturi de date colectate în siturile de fracturare hidraulică și câmpurile offshore, inclusiv cu date din câmpurile Ekofisk și Valhall (de exemplu, De Meersman și colab., 2009; Chambers et al., 2010; Jones și colab., 2014). </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Grupul a aplicat o mare varietate de tehnici seismologice la aceste setări industriale, inclusiv dezvoltarea tehnicilor de localizare și detectare a evenimentelor seismice (Stork și colab., 2015; Verdon et al., 2017; Stork et al., 2019), verificarea geomecanice modele cu observații seismice pasive (de exemplu, Verdon și colab., 2011; Verdon și colab., 2015), analiza caracteristică a fracturii folosind observații de anisotropie (de exemplu, Baird și colab., 2013; Baird și colab., 2017), modelarea formei de undă a Date DAS (Baird și colab., 2019) și studii de zgomot ambiental (Stork și colab., 2018b). </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Grupul este implicat în prezent în proiecte de cercetare a capabilităților și utilizării DAS pentru detectarea și localizarea evenimentelor de microseism (de exemplu, Williams și colab., Depuse, Stork și colab., 2019, Baird și colab., 2019).</w:t>
      </w:r>
    </w:p>
    <w:p w:rsidR="00C76A24" w:rsidRPr="007F452C" w:rsidRDefault="00C76A24" w:rsidP="00DA5384">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TNO a efectuat, de asemenea, studii de modelare și monitorizare pentru domeniul gazelor din Groningen, inclusiv monitorizarea, precum și modelarea propagării undelor 3D a cutremurelor din Groningen (Paap și colab., 2018).</w:t>
      </w:r>
    </w:p>
    <w:p w:rsidR="00C76A24" w:rsidRPr="007F452C" w:rsidRDefault="00C76A24" w:rsidP="0029608E">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Silixa a fost implicată în mai multe anchete VSP 3D și 4D onshore și offshore, utilizând senzori acustici distribuiți instalați permanent (de exemplu, Meek și colab., 2017; Pevzner și colab., 2017; Correa și colab., 2018b; Wang et al., 2018 ). Acestea includ instalații permanente de cablu în site-urile de sechestrare a CO2 la Aquistore (Canada), Otway (Australia), Hontomin (Spania) și pentru Parteneriatul regional al statului american de sechestrare a carbonului (MRCSP).</w:t>
      </w:r>
    </w:p>
    <w:p w:rsidR="00C76A24" w:rsidRPr="007F452C" w:rsidRDefault="00C76A24" w:rsidP="0029608E">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NORCE are expertiză în măsurătorile DxS și procesarea datelor (Midttømme și colab., 2017; Wilks și colab., 2017a; Wilks și colab., 2017b; Thomas și colab., 2018). NORCE are, de asemenea, expertiză în dezvoltarea și utilizarea metodelor de estimare a parametrilor pentru probleme legate de suprafață, în special metode bayesiene bazate pe ansamblu, parametrizare orientată pe aplicații și utilizarea comună a diferitelor tipuri de date. </w:t>
      </w:r>
    </w:p>
    <w:p w:rsidR="00DA5384" w:rsidRPr="007F452C" w:rsidRDefault="00C76A24" w:rsidP="0029608E">
      <w:pPr>
        <w:pStyle w:val="ListParagraph"/>
        <w:spacing w:after="120"/>
        <w:ind w:left="0"/>
        <w:jc w:val="both"/>
        <w:rPr>
          <w:rStyle w:val="tlid-translation"/>
          <w:rFonts w:ascii="Arial" w:hAnsi="Arial" w:cs="Arial"/>
          <w:sz w:val="20"/>
          <w:szCs w:val="20"/>
        </w:rPr>
      </w:pPr>
      <w:r w:rsidRPr="007F452C">
        <w:rPr>
          <w:rFonts w:ascii="Arial" w:hAnsi="Arial" w:cs="Arial"/>
          <w:sz w:val="20"/>
          <w:szCs w:val="20"/>
          <w:lang w:val="ro-RO"/>
        </w:rPr>
        <w:t>Lucrările privind metodele bayesiene bazate pe ansamblu includ utilizarea datelor seismice pentru potrivirea istoricului rezervoarelor (Gentilhomme et al., 2013, Gentilhomme et al., 2015, Fossum and Mannseth, 2018, Mannseth și Fossum, 2018), utilizarea comună a seismicului și Datele CSEM pentru explorarea rezervorului de petrol (Tveit și colab., 2015), utilizarea comună a datelor MT și TEM pentru explorarea rezervorului geotermic (Tveit și Mannseth, 2018) și monitorizarea sechestrării CO2 cu date seismice și CSEM (Tveit et al., 2016) și cu securitate seismica.</w:t>
      </w:r>
    </w:p>
    <w:p w:rsidR="001E522B" w:rsidRPr="007F452C" w:rsidRDefault="001E522B" w:rsidP="00BF0E88">
      <w:pPr>
        <w:pStyle w:val="Heading2"/>
        <w:rPr>
          <w:rStyle w:val="tlid-translation"/>
          <w:rFonts w:ascii="Arial" w:hAnsi="Arial" w:cs="Arial"/>
          <w:sz w:val="20"/>
        </w:rPr>
      </w:pPr>
      <w:bookmarkStart w:id="12" w:name="_Toc26091217"/>
      <w:r w:rsidRPr="007F452C">
        <w:rPr>
          <w:rStyle w:val="tlid-translation"/>
          <w:rFonts w:ascii="Arial" w:hAnsi="Arial" w:cs="Arial"/>
          <w:sz w:val="20"/>
          <w:lang w:val="ro-RO"/>
        </w:rPr>
        <w:lastRenderedPageBreak/>
        <w:t>Analiza datelor DAS</w:t>
      </w:r>
      <w:bookmarkEnd w:id="12"/>
    </w:p>
    <w:p w:rsidR="001E522B"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Calculul parametrilor sursei de cutremur, cum ar fi magnitudinea, necesită cunoașterea răspunsului senzorului la undele de intrare pentru a permite determinarea unităților necesare (de exemplu, deplasarea sau viteza). </w:t>
      </w:r>
    </w:p>
    <w:p w:rsidR="001E522B"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Acest răspuns se numește funcția de transfer a instrumentului. Problema cu care se confruntă implementarea DAS este aceea că funcția de transfer este variabilă spațial și temporal datorită modificărilor proprietăților fizice ale mediului din jurul cablului și a variațiilor în cuplarea senzorului (Papp și colab., 2017). Funcția de transfer DAS depinde, de asemenea, de frecvența și de directivitatea câmpului de undă care intră (Lumens și colab., 2013).</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w:t>
      </w:r>
      <w:r w:rsidR="001E522B" w:rsidRPr="007F452C">
        <w:rPr>
          <w:rStyle w:val="tlid-translation"/>
          <w:rFonts w:ascii="Arial" w:hAnsi="Arial" w:cs="Arial"/>
          <w:sz w:val="20"/>
          <w:szCs w:val="20"/>
          <w:lang w:val="ro-RO"/>
        </w:rPr>
        <w:t>unt necesare mai multe informații pentru funcția de transfer DAS, cuplarea cablului la formare, răspunsul Fibră, răspunsul cablului și răspunsul interogatorului. Testele de laborator sunt utilizate de producătorii de instrumente pentru a determina răspunsul cu fibre, răspunsul cablului și răspunsul interogatorului. Dacă aceste informații au un caracter proprietar, pot fi testate în laborator. În cadrul acestui pachet de lucru, testele de echipament vor fi efectuate, într-o varietate de condiții de laborator, cu scopul de a face recomandări pentru un flux de lucru standard pentru a determina răspunsul instrumentului.</w:t>
      </w:r>
    </w:p>
    <w:p w:rsidR="008F0320"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Pentru a rezolva problema efectului cuplării cablurilor la formarea înconjurătoare sau foraj, vor fi necesare încercări de câmp pentru a compara direct datele înregistrate pe senzorii convenționali și sistemele DAS. Testele de suprafață aproape vor fi efectuate cu un cablu de fibră optică îngropat și geofoane de suprafață. Experimentele de foraj vor fi, de asemenea, efectuate folosind geofoane de jos și Fibre DAS. </w:t>
      </w:r>
    </w:p>
    <w:p w:rsidR="00DA5384"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Combinarea acestor date cu teste suplimentare de teren la scară mică, va face posibilă găsirea unei funcții de transfer între datele seismice 3D / 4D / VSP convenționale de înaltă calitate și datele noi dobândite de un sistem DAS. Un flux de lucru complet 4D va fi dezvoltat pentru a evalua modificarea funcției de transfer cu timpul. Determinarea funcției de transfer va valida potențialul tehnologiei DAS pentru monitorizarea stocării CO2 și va reduce costurile de monitorizare. Pe lângă datele de câmp, răspunsul sistemelor DAS la o serie de scenarii de implementare va fi modelat și cu ajutorul pachetului GEOS al LLNL. Calibrarea datelor modelate cu date de câmp este vitală dacă răspunsul Fibers trebuie înțeles înainte de implementare.</w:t>
      </w:r>
    </w:p>
    <w:p w:rsidR="008F0320" w:rsidRPr="007F452C" w:rsidRDefault="001E522B" w:rsidP="00BF0E88">
      <w:pPr>
        <w:pStyle w:val="Heading2"/>
        <w:rPr>
          <w:rFonts w:ascii="Arial" w:hAnsi="Arial" w:cs="Arial"/>
          <w:sz w:val="20"/>
        </w:rPr>
      </w:pPr>
      <w:bookmarkStart w:id="13" w:name="_Toc26091218"/>
      <w:r w:rsidRPr="007F452C">
        <w:rPr>
          <w:rFonts w:ascii="Arial" w:hAnsi="Arial" w:cs="Arial"/>
          <w:sz w:val="20"/>
        </w:rPr>
        <w:t>Analiza în timp real</w:t>
      </w:r>
      <w:bookmarkEnd w:id="13"/>
    </w:p>
    <w:p w:rsidR="008F0320" w:rsidRPr="007F452C" w:rsidRDefault="001E522B"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Metodele de prelucrare a datelor care urmează să fie dezvoltate se încadrează în două categorii, metode pentru:</w:t>
      </w:r>
    </w:p>
    <w:p w:rsidR="008F0320" w:rsidRPr="007F452C" w:rsidRDefault="001E522B" w:rsidP="00187695">
      <w:pPr>
        <w:pStyle w:val="ListParagraph"/>
        <w:numPr>
          <w:ilvl w:val="0"/>
          <w:numId w:val="42"/>
        </w:numPr>
        <w:spacing w:after="120"/>
        <w:jc w:val="both"/>
        <w:rPr>
          <w:rFonts w:ascii="Arial" w:hAnsi="Arial" w:cs="Arial"/>
          <w:sz w:val="20"/>
          <w:szCs w:val="20"/>
        </w:rPr>
      </w:pPr>
      <w:r w:rsidRPr="007F452C">
        <w:rPr>
          <w:rStyle w:val="tlid-translation"/>
          <w:rFonts w:ascii="Arial" w:hAnsi="Arial" w:cs="Arial"/>
          <w:sz w:val="20"/>
          <w:szCs w:val="20"/>
          <w:lang w:val="ro-RO"/>
        </w:rPr>
        <w:t>Monitorizare microseismică; și</w:t>
      </w:r>
    </w:p>
    <w:p w:rsidR="008F0320" w:rsidRPr="007F452C" w:rsidRDefault="001E522B" w:rsidP="00187695">
      <w:pPr>
        <w:pStyle w:val="ListParagraph"/>
        <w:numPr>
          <w:ilvl w:val="0"/>
          <w:numId w:val="42"/>
        </w:numPr>
        <w:spacing w:after="120"/>
        <w:jc w:val="both"/>
        <w:rPr>
          <w:rStyle w:val="tlid-translation"/>
          <w:rFonts w:ascii="Arial" w:hAnsi="Arial" w:cs="Arial"/>
          <w:sz w:val="20"/>
          <w:szCs w:val="20"/>
        </w:rPr>
      </w:pPr>
      <w:r w:rsidRPr="007F452C">
        <w:rPr>
          <w:rStyle w:val="tlid-translation"/>
          <w:rFonts w:ascii="Arial" w:hAnsi="Arial" w:cs="Arial"/>
          <w:sz w:val="20"/>
          <w:szCs w:val="20"/>
          <w:lang w:val="ro-RO"/>
        </w:rPr>
        <w:t>Imagin</w:t>
      </w:r>
      <w:r w:rsidR="008F0320"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w:t>
      </w:r>
      <w:r w:rsidRPr="007F452C">
        <w:rPr>
          <w:rFonts w:ascii="Arial" w:hAnsi="Arial" w:cs="Arial"/>
          <w:sz w:val="20"/>
          <w:szCs w:val="20"/>
          <w:lang w:val="ro-RO"/>
        </w:rPr>
        <w:br/>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Accentul se va pune pe dezvoltarea analizei în timp real a tuturor proceselor de procesare dezvoltate ca parte a acestei sarcini.</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Provocările pentru monitorizarea microseismului folosind DAS includ detectarea și localizarea evenimentelor seismice și calculul mărimilor acestora. Dacă un cablu DAS este implementat într-un puț de injecție de lichid, așa cum se poate întâmpla la proiectele de injecție de CO2, acest lucru duce la niveluri foarte ridicate de zgomot și înainte de a putea fi detectate evenimente, datele trebuie dezabordate. Proiectul DigiMon va folosi datele înregistrate la sondele de injecție active (de exemplu, Hontomin, Otway) pentru a stabili metode eficiente de eliminare a zgomotului pentru datele DAS.</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Se poate înregistra atât energie seismică cu undă P, cât și S, dar un cablu de înregistrare DAS liniar funcționează efectiv ca o linie de senzori cu o singură componentă. Astfel, înregistrările sunt dominate de energie de undă P sau S, în funcție de orientarea sa. </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Acest lucru duce la o ambiguitate de 360 ​​° în locațiile evenimentului (prezentate de Williams și colab.). O serie de metode de identificare a evenimentelor de date DAS (de exemplu, Stork și colab., 2019) și metode de </w:t>
      </w:r>
      <w:r w:rsidRPr="007F452C">
        <w:rPr>
          <w:rStyle w:val="tlid-translation"/>
          <w:rFonts w:ascii="Arial" w:hAnsi="Arial" w:cs="Arial"/>
          <w:sz w:val="20"/>
          <w:szCs w:val="20"/>
          <w:lang w:val="ro-RO"/>
        </w:rPr>
        <w:lastRenderedPageBreak/>
        <w:t xml:space="preserve">localizare pentru date seismice pasive convenționale (de exemplu, Chambers și colab., 2010; Verdon et al., 2017) vor fi dezvoltate în continuare pentru a îmbunătăți eficiență și să fie aplicabil datelor DAS. </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De exemplu, prin utilizarea inteligenței artificiale (AI) pentru detectarea evenimentelor (Paap și colab., 2017).</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Până în prezent, mărimile nu au fost calculate independent folosind tehnologia DAS, dar, cu disponibilitatea unei funcții de transfer (a se vedea WP1a), având în vedere ratele de eșantionare ridicate, eșantionarea spațială densă și semnale în bandă largă, acest lucru ar trebui să fie posibil.</w:t>
      </w:r>
    </w:p>
    <w:p w:rsidR="00187695" w:rsidRPr="007F452C" w:rsidRDefault="001E522B"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Ideal pentru imagistică, sistemele DAS asigură o prelevare spațială densă (adesea la fiecare 1 m) și acest lucru creează volume mari de date pentru analiza în timp real. Prin decimarea datelor DAS din experimentele cunoscute pe teren, WP va investiga densitatea datelor necesare pentru a realiza analiza evenimentelor seismice și, de asemenea, modul în care datele mai reduse afectează potențialul imagistic. Este de interes deosebit modul în care utilizarea datelor DAS seismice pasive continue poate îmbunătăți modelul de viteză în comparație cu datele seismice convenționale în timp, în care timpul dintre sondaje este de ordinul a luni sau ani.</w:t>
      </w:r>
    </w:p>
    <w:p w:rsidR="001E522B" w:rsidRPr="007F452C" w:rsidRDefault="001E522B" w:rsidP="00187695">
      <w:pPr>
        <w:pStyle w:val="ListParagraph"/>
        <w:spacing w:after="120"/>
        <w:ind w:left="0"/>
        <w:jc w:val="both"/>
        <w:rPr>
          <w:rFonts w:ascii="Arial" w:hAnsi="Arial" w:cs="Arial"/>
          <w:sz w:val="20"/>
          <w:szCs w:val="20"/>
        </w:rPr>
      </w:pPr>
      <w:r w:rsidRPr="007F452C">
        <w:rPr>
          <w:rStyle w:val="tlid-translation"/>
          <w:rFonts w:ascii="Arial" w:hAnsi="Arial" w:cs="Arial"/>
          <w:sz w:val="20"/>
          <w:szCs w:val="20"/>
          <w:lang w:val="ro-RO"/>
        </w:rPr>
        <w:t>Acest proiect va dezvolta metode ANI pentru utilizarea datelor DAS pentru a oferi o alternativă foarte puternică și flexibilă la sondajele seismice active 4D prin evaluarea cerințelor pentru astfel de studii.</w:t>
      </w:r>
    </w:p>
    <w:p w:rsidR="00187695" w:rsidRPr="007F452C" w:rsidRDefault="008F0320" w:rsidP="00187695">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Proiectul va investiga înregistrarea câmpului de undă vector complet (de exemplu, undele P și S-undă pe 3 componente) folosind tehnologia DAS (de exemplu, folosind un cablu în spirală). Aceasta va deschide o gamă largă de aplicații viitoare, incluzând inversări de tensiune moment, divizare de undă forfecată (pentru a înțelege efectele anizotropiei) și detectarea undelor convertite.</w:t>
      </w:r>
    </w:p>
    <w:p w:rsidR="008F0320" w:rsidRPr="007F452C" w:rsidRDefault="008F0320" w:rsidP="00BF0E88">
      <w:pPr>
        <w:pStyle w:val="Heading2"/>
        <w:rPr>
          <w:rFonts w:ascii="Arial" w:hAnsi="Arial" w:cs="Arial"/>
          <w:sz w:val="20"/>
        </w:rPr>
      </w:pPr>
      <w:bookmarkStart w:id="14" w:name="_Toc26091219"/>
      <w:r w:rsidRPr="007F452C">
        <w:rPr>
          <w:rStyle w:val="tlid-translation"/>
          <w:rFonts w:ascii="Arial" w:hAnsi="Arial" w:cs="Arial"/>
          <w:sz w:val="20"/>
          <w:lang w:val="ro-RO"/>
        </w:rPr>
        <w:t>Studii de fezabilitate DCS</w:t>
      </w:r>
      <w:bookmarkEnd w:id="14"/>
    </w:p>
    <w:p w:rsidR="008F0320" w:rsidRPr="007F452C" w:rsidRDefault="0029608E"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P</w:t>
      </w:r>
      <w:r w:rsidR="008F0320" w:rsidRPr="007F452C">
        <w:rPr>
          <w:rStyle w:val="tlid-translation"/>
          <w:rFonts w:ascii="Arial" w:hAnsi="Arial" w:cs="Arial"/>
          <w:sz w:val="20"/>
          <w:szCs w:val="20"/>
          <w:lang w:val="ro-RO"/>
        </w:rPr>
        <w:t>opunem o metodologie de depășire a blocajelor rutiere actuale pentru utilizarea fibrelor optice pentru detectarea CO2 în puțuri, oferind măsurători directe ale concentrației de CO2 (și a altor gaze / fluide), împreună cu alți parametri importanți, cum ar fi temperatura și presiunea.</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Detectarea de fibre optice de CO2 va fi evaluată folosind două tehnici separate (fig</w:t>
      </w:r>
      <w:r w:rsidR="00220DDE">
        <w:rPr>
          <w:rStyle w:val="tlid-translation"/>
          <w:rFonts w:ascii="Arial" w:hAnsi="Arial" w:cs="Arial"/>
          <w:sz w:val="20"/>
          <w:szCs w:val="20"/>
          <w:lang w:val="ro-RO"/>
        </w:rPr>
        <w:t>. 5.</w:t>
      </w:r>
      <w:r w:rsidRPr="007F452C">
        <w:rPr>
          <w:rStyle w:val="tlid-translation"/>
          <w:rFonts w:ascii="Arial" w:hAnsi="Arial" w:cs="Arial"/>
          <w:sz w:val="20"/>
          <w:szCs w:val="20"/>
          <w:lang w:val="ro-RO"/>
        </w:rPr>
        <w:t xml:space="preserve">): grătarele de fibre Bragg (FBG) și spectroscopia Raman și IR aplicate printr-o fibră goală care permite intrarea de gaze / fluide. Detectarea FBG se bazează pe proprietățile de reflectare ale gratiilor încorporate, rezolvate fin, scrise în miezul de fibră. </w:t>
      </w:r>
    </w:p>
    <w:p w:rsidR="00580186"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Grătarele sunt proiectate pentru a asigura o reflecție puternică la o lungime de undă specifică Bragg, care se schimbă odată ce există o perturbare mecanică, chimică sau termică a mediului. </w:t>
      </w:r>
    </w:p>
    <w:p w:rsidR="00580186" w:rsidRPr="007F452C" w:rsidRDefault="00580186"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w:t>
      </w:r>
      <w:r w:rsidR="008F0320" w:rsidRPr="007F452C">
        <w:rPr>
          <w:rStyle w:val="tlid-translation"/>
          <w:rFonts w:ascii="Arial" w:hAnsi="Arial" w:cs="Arial"/>
          <w:sz w:val="20"/>
          <w:szCs w:val="20"/>
          <w:lang w:val="ro-RO"/>
        </w:rPr>
        <w:t xml:space="preserve">oncentrația chimică </w:t>
      </w:r>
      <w:r w:rsidRPr="007F452C">
        <w:rPr>
          <w:rStyle w:val="tlid-translation"/>
          <w:rFonts w:ascii="Arial" w:hAnsi="Arial" w:cs="Arial"/>
          <w:sz w:val="20"/>
          <w:szCs w:val="20"/>
          <w:lang w:val="ro-RO"/>
        </w:rPr>
        <w:t xml:space="preserve">este </w:t>
      </w:r>
      <w:r w:rsidR="008F0320" w:rsidRPr="007F452C">
        <w:rPr>
          <w:rStyle w:val="tlid-translation"/>
          <w:rFonts w:ascii="Arial" w:hAnsi="Arial" w:cs="Arial"/>
          <w:sz w:val="20"/>
          <w:szCs w:val="20"/>
          <w:lang w:val="ro-RO"/>
        </w:rPr>
        <w:t>detectat</w:t>
      </w:r>
      <w:r w:rsidRPr="007F452C">
        <w:rPr>
          <w:rStyle w:val="tlid-translation"/>
          <w:rFonts w:ascii="Arial" w:hAnsi="Arial" w:cs="Arial"/>
          <w:sz w:val="20"/>
          <w:szCs w:val="20"/>
          <w:lang w:val="ro-RO"/>
        </w:rPr>
        <w:t>a</w:t>
      </w:r>
      <w:r w:rsidR="008F0320" w:rsidRPr="007F452C">
        <w:rPr>
          <w:rStyle w:val="tlid-translation"/>
          <w:rFonts w:ascii="Arial" w:hAnsi="Arial" w:cs="Arial"/>
          <w:sz w:val="20"/>
          <w:szCs w:val="20"/>
          <w:lang w:val="ro-RO"/>
        </w:rPr>
        <w:t xml:space="preserve"> prin modificări ale permisivității optice, cu sensibilitate de aproximativ 2-6 nm / RIU (unitate de indice de refracție). Spectroscopia tehnicii alternative, atât Raman cât și IR, este o tehnică analitică puternică care exploatează interacțiunile lumină-materie pentru extragerea amprentelor chimice. </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Vom efectua spectroscopie folosind fibre de cristal fotonice care permit fluxul luminii și analitelor în același volum, maximizând interacțiunea lumină-materie și îmbunătățind semnalul Raman sau IR.</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Sarcinile propuse vor fi de a evalua sensibilitatea tehnicilor în intervalul preconizat al condițiilor într-un puț de monitorizare. Aceasta va include caracterul adecvat pentru detectarea CO2 și fezabilitatea pentru depistarea scurgerilor cronice mici care au potențialul de a deteriora surse subterane de apă potabilă sau de precursori la probabilitate redusă / evenimente de explozie cu consecințe ridicate care ar putea fi atenuate prin remedierea fântânii.</w:t>
      </w:r>
    </w:p>
    <w:p w:rsidR="001E522B" w:rsidRPr="007F452C" w:rsidRDefault="008F0320" w:rsidP="00187695">
      <w:pPr>
        <w:spacing w:after="120" w:line="276" w:lineRule="auto"/>
        <w:rPr>
          <w:rFonts w:ascii="Arial" w:hAnsi="Arial" w:cs="Arial"/>
          <w:b/>
          <w:i/>
          <w:sz w:val="20"/>
          <w:szCs w:val="20"/>
        </w:rPr>
      </w:pPr>
      <w:r w:rsidRPr="007F452C">
        <w:rPr>
          <w:rStyle w:val="tlid-translation"/>
          <w:rFonts w:ascii="Arial" w:hAnsi="Arial" w:cs="Arial"/>
          <w:sz w:val="20"/>
          <w:szCs w:val="20"/>
          <w:lang w:val="ro-RO"/>
        </w:rPr>
        <w:t>Pe lângă detecție, este utilă estimarea presiunii, ceea ce va necesita măsurarea pCO2 și a fluxului său. pCO2 va varia pe lungimea puțului și va extinde gazul până la presiuni supercritice (~ 0,01 până la 10 MPa) conduse de fluxuri mici, care depășesc degradarea microbiană a materiei organice până la fluxuri mari caracteristice condițiilor de evacuare (103 până la 106 kg / zi).</w:t>
      </w:r>
    </w:p>
    <w:p w:rsidR="00557FE2" w:rsidRPr="007F452C" w:rsidRDefault="00450E83" w:rsidP="00187695">
      <w:pPr>
        <w:spacing w:after="120" w:line="276" w:lineRule="auto"/>
        <w:rPr>
          <w:rFonts w:ascii="Arial" w:hAnsi="Arial" w:cs="Arial"/>
          <w:sz w:val="20"/>
          <w:szCs w:val="20"/>
        </w:rPr>
      </w:pPr>
      <w:r w:rsidRPr="007F452C">
        <w:rPr>
          <w:rFonts w:ascii="Arial" w:hAnsi="Arial" w:cs="Arial"/>
          <w:b/>
          <w:noProof/>
          <w:sz w:val="20"/>
          <w:szCs w:val="20"/>
          <w:lang w:val="en-US"/>
        </w:rPr>
        <w:lastRenderedPageBreak/>
        <w:drawing>
          <wp:anchor distT="0" distB="0" distL="114300" distR="114300" simplePos="0" relativeHeight="251646976" behindDoc="0" locked="0" layoutInCell="1" allowOverlap="1" wp14:anchorId="29F455F7" wp14:editId="1D92AFE3">
            <wp:simplePos x="0" y="0"/>
            <wp:positionH relativeFrom="column">
              <wp:posOffset>26035</wp:posOffset>
            </wp:positionH>
            <wp:positionV relativeFrom="paragraph">
              <wp:posOffset>50165</wp:posOffset>
            </wp:positionV>
            <wp:extent cx="1903095" cy="2774315"/>
            <wp:effectExtent l="19050" t="0" r="1905" b="0"/>
            <wp:wrapThrough wrapText="bothSides">
              <wp:wrapPolygon edited="0">
                <wp:start x="-216" y="0"/>
                <wp:lineTo x="-216" y="21506"/>
                <wp:lineTo x="21622" y="21506"/>
                <wp:lineTo x="21622" y="0"/>
                <wp:lineTo x="-216"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903095" cy="2774315"/>
                    </a:xfrm>
                    <a:prstGeom prst="rect">
                      <a:avLst/>
                    </a:prstGeom>
                  </pic:spPr>
                </pic:pic>
              </a:graphicData>
            </a:graphic>
          </wp:anchor>
        </w:drawing>
      </w:r>
      <w:r w:rsidR="006D3942" w:rsidRPr="007F452C">
        <w:rPr>
          <w:rFonts w:ascii="Arial" w:hAnsi="Arial" w:cs="Arial"/>
          <w:b/>
          <w:sz w:val="20"/>
          <w:szCs w:val="20"/>
        </w:rPr>
        <w:t xml:space="preserve">a)                            </w:t>
      </w:r>
      <w:proofErr w:type="gramStart"/>
      <w:r w:rsidR="00557FE2" w:rsidRPr="007F452C">
        <w:rPr>
          <w:rFonts w:ascii="Arial" w:hAnsi="Arial" w:cs="Arial"/>
          <w:b/>
          <w:sz w:val="20"/>
          <w:szCs w:val="20"/>
        </w:rPr>
        <w:t>b</w:t>
      </w:r>
      <w:proofErr w:type="gramEnd"/>
      <w:r w:rsidR="00557FE2" w:rsidRPr="007F452C">
        <w:rPr>
          <w:rFonts w:ascii="Arial" w:hAnsi="Arial" w:cs="Arial"/>
          <w:b/>
          <w:sz w:val="20"/>
          <w:szCs w:val="20"/>
        </w:rPr>
        <w:t>)</w:t>
      </w:r>
    </w:p>
    <w:p w:rsidR="00557FE2" w:rsidRPr="007F452C" w:rsidRDefault="00580186" w:rsidP="00187695">
      <w:pPr>
        <w:spacing w:after="120" w:line="276" w:lineRule="auto"/>
        <w:rPr>
          <w:rFonts w:ascii="Arial" w:hAnsi="Arial" w:cs="Arial"/>
          <w:b/>
          <w:iCs/>
          <w:sz w:val="20"/>
          <w:szCs w:val="20"/>
          <w:lang w:val="en-US"/>
        </w:rPr>
      </w:pPr>
      <w:r w:rsidRPr="007F452C">
        <w:rPr>
          <w:rFonts w:ascii="Arial" w:hAnsi="Arial" w:cs="Arial"/>
          <w:b/>
          <w:iCs/>
          <w:noProof/>
          <w:sz w:val="20"/>
          <w:szCs w:val="20"/>
          <w:lang w:val="en-US"/>
        </w:rPr>
        <w:drawing>
          <wp:anchor distT="0" distB="0" distL="114300" distR="114300" simplePos="0" relativeHeight="251649024" behindDoc="0" locked="0" layoutInCell="1" allowOverlap="1" wp14:anchorId="1F725210" wp14:editId="7FC2E4EF">
            <wp:simplePos x="0" y="0"/>
            <wp:positionH relativeFrom="column">
              <wp:posOffset>617220</wp:posOffset>
            </wp:positionH>
            <wp:positionV relativeFrom="paragraph">
              <wp:posOffset>55880</wp:posOffset>
            </wp:positionV>
            <wp:extent cx="3089275" cy="2353945"/>
            <wp:effectExtent l="19050" t="0" r="0" b="0"/>
            <wp:wrapThrough wrapText="bothSides">
              <wp:wrapPolygon edited="0">
                <wp:start x="-133" y="0"/>
                <wp:lineTo x="-133" y="21501"/>
                <wp:lineTo x="21578" y="21501"/>
                <wp:lineTo x="21578" y="0"/>
                <wp:lineTo x="-133"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089275" cy="2353945"/>
                    </a:xfrm>
                    <a:prstGeom prst="rect">
                      <a:avLst/>
                    </a:prstGeom>
                  </pic:spPr>
                </pic:pic>
              </a:graphicData>
            </a:graphic>
          </wp:anchor>
        </w:drawing>
      </w:r>
    </w:p>
    <w:p w:rsidR="00557FE2" w:rsidRPr="007F452C" w:rsidRDefault="00557FE2" w:rsidP="00187695">
      <w:pPr>
        <w:spacing w:after="120" w:line="276" w:lineRule="auto"/>
        <w:rPr>
          <w:rFonts w:ascii="Arial" w:hAnsi="Arial" w:cs="Arial"/>
          <w:b/>
          <w:iCs/>
          <w:sz w:val="20"/>
          <w:szCs w:val="20"/>
          <w:lang w:val="en-US"/>
        </w:rPr>
      </w:pPr>
    </w:p>
    <w:p w:rsidR="00557FE2" w:rsidRPr="007F452C" w:rsidRDefault="00557FE2" w:rsidP="00187695">
      <w:pPr>
        <w:spacing w:after="120" w:line="276" w:lineRule="auto"/>
        <w:rPr>
          <w:rFonts w:ascii="Arial" w:hAnsi="Arial" w:cs="Arial"/>
          <w:b/>
          <w:iCs/>
          <w:sz w:val="20"/>
          <w:szCs w:val="20"/>
          <w:lang w:val="en-US"/>
        </w:rPr>
      </w:pPr>
    </w:p>
    <w:p w:rsidR="00557FE2" w:rsidRPr="007F452C" w:rsidRDefault="00557FE2" w:rsidP="00187695">
      <w:pPr>
        <w:spacing w:after="120" w:line="276" w:lineRule="auto"/>
        <w:rPr>
          <w:rFonts w:ascii="Arial" w:hAnsi="Arial" w:cs="Arial"/>
          <w:b/>
          <w:iCs/>
          <w:sz w:val="20"/>
          <w:szCs w:val="20"/>
          <w:lang w:val="en-US"/>
        </w:rPr>
      </w:pPr>
    </w:p>
    <w:p w:rsidR="00557FE2" w:rsidRPr="007F452C" w:rsidRDefault="00557FE2" w:rsidP="00187695">
      <w:pPr>
        <w:spacing w:after="120" w:line="276" w:lineRule="auto"/>
        <w:rPr>
          <w:rFonts w:ascii="Arial" w:hAnsi="Arial" w:cs="Arial"/>
          <w:b/>
          <w:iCs/>
          <w:sz w:val="20"/>
          <w:szCs w:val="20"/>
          <w:lang w:val="en-US"/>
        </w:rPr>
      </w:pPr>
    </w:p>
    <w:p w:rsidR="00557FE2" w:rsidRPr="007F452C" w:rsidRDefault="00557FE2" w:rsidP="00187695">
      <w:pPr>
        <w:spacing w:after="120" w:line="276" w:lineRule="auto"/>
        <w:rPr>
          <w:rFonts w:ascii="Arial" w:hAnsi="Arial" w:cs="Arial"/>
          <w:b/>
          <w:iCs/>
          <w:sz w:val="20"/>
          <w:szCs w:val="20"/>
          <w:lang w:val="en-US"/>
        </w:rPr>
      </w:pPr>
    </w:p>
    <w:p w:rsidR="00450E83" w:rsidRPr="007F452C" w:rsidRDefault="00450E83" w:rsidP="00187695">
      <w:pPr>
        <w:spacing w:after="120" w:line="276" w:lineRule="auto"/>
        <w:rPr>
          <w:rStyle w:val="tlid-translation"/>
          <w:rFonts w:ascii="Arial" w:hAnsi="Arial" w:cs="Arial"/>
          <w:b/>
          <w:sz w:val="20"/>
          <w:szCs w:val="20"/>
          <w:lang w:val="ro-RO"/>
        </w:rPr>
      </w:pPr>
    </w:p>
    <w:p w:rsidR="00450E83" w:rsidRPr="007F452C" w:rsidRDefault="00450E83" w:rsidP="00187695">
      <w:pPr>
        <w:spacing w:after="120" w:line="276" w:lineRule="auto"/>
        <w:rPr>
          <w:rStyle w:val="tlid-translation"/>
          <w:rFonts w:ascii="Arial" w:hAnsi="Arial" w:cs="Arial"/>
          <w:b/>
          <w:sz w:val="20"/>
          <w:szCs w:val="20"/>
          <w:lang w:val="ro-RO"/>
        </w:rPr>
      </w:pPr>
    </w:p>
    <w:p w:rsidR="00450E83" w:rsidRPr="007F452C" w:rsidRDefault="00450E83" w:rsidP="00187695">
      <w:pPr>
        <w:spacing w:after="120" w:line="276" w:lineRule="auto"/>
        <w:rPr>
          <w:rStyle w:val="tlid-translation"/>
          <w:rFonts w:ascii="Arial" w:hAnsi="Arial" w:cs="Arial"/>
          <w:b/>
          <w:sz w:val="20"/>
          <w:szCs w:val="20"/>
          <w:lang w:val="ro-RO"/>
        </w:rPr>
      </w:pPr>
    </w:p>
    <w:p w:rsidR="00450E83" w:rsidRPr="007F452C" w:rsidRDefault="00450E83" w:rsidP="00187695">
      <w:pPr>
        <w:spacing w:after="120" w:line="276" w:lineRule="auto"/>
        <w:rPr>
          <w:rStyle w:val="tlid-translation"/>
          <w:rFonts w:ascii="Arial" w:hAnsi="Arial" w:cs="Arial"/>
          <w:b/>
          <w:sz w:val="20"/>
          <w:szCs w:val="20"/>
          <w:lang w:val="ro-RO"/>
        </w:rPr>
      </w:pPr>
    </w:p>
    <w:p w:rsidR="00220DDE" w:rsidRDefault="00220DDE" w:rsidP="00187695">
      <w:pPr>
        <w:spacing w:after="120" w:line="276" w:lineRule="auto"/>
        <w:rPr>
          <w:rStyle w:val="tlid-translation"/>
          <w:rFonts w:ascii="Arial" w:hAnsi="Arial" w:cs="Arial"/>
          <w:b/>
          <w:sz w:val="20"/>
          <w:szCs w:val="20"/>
          <w:lang w:val="ro-RO"/>
        </w:rPr>
      </w:pP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b/>
          <w:sz w:val="20"/>
          <w:szCs w:val="20"/>
          <w:lang w:val="ro-RO"/>
        </w:rPr>
        <w:t xml:space="preserve">Fig: </w:t>
      </w:r>
      <w:r w:rsidRPr="007F452C">
        <w:rPr>
          <w:rStyle w:val="tlid-translation"/>
          <w:rFonts w:ascii="Arial" w:hAnsi="Arial" w:cs="Arial"/>
          <w:sz w:val="20"/>
          <w:szCs w:val="20"/>
          <w:lang w:val="ro-RO"/>
        </w:rPr>
        <w:t>a) Diagrama care ilustrează modul în care ar funcționa spectroscopia Fibrei Raman goale. b) Detectarea semnalelor N2 și O2.</w:t>
      </w:r>
    </w:p>
    <w:p w:rsidR="008F0320" w:rsidRPr="007F452C" w:rsidRDefault="008F0320" w:rsidP="00BF0E88">
      <w:pPr>
        <w:pStyle w:val="Heading2"/>
        <w:rPr>
          <w:rStyle w:val="tlid-translation"/>
          <w:rFonts w:ascii="Arial" w:hAnsi="Arial" w:cs="Arial"/>
          <w:sz w:val="20"/>
        </w:rPr>
      </w:pPr>
      <w:bookmarkStart w:id="15" w:name="_Toc26091220"/>
      <w:r w:rsidRPr="007F452C">
        <w:rPr>
          <w:rStyle w:val="tlid-translation"/>
          <w:rFonts w:ascii="Arial" w:hAnsi="Arial" w:cs="Arial"/>
          <w:sz w:val="20"/>
          <w:lang w:val="ro-RO"/>
        </w:rPr>
        <w:t>Reducerea costurilor de monitorizare a gravitației și deformării</w:t>
      </w:r>
      <w:bookmarkEnd w:id="15"/>
    </w:p>
    <w:p w:rsidR="00C76A24"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Monitorizarea gravitației 4D și a deformării suprafeței s-au dovedit valoroase pentru monitorizarea CO2</w:t>
      </w:r>
      <w:r w:rsidR="00FE0BD0"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cu exemple d</w:t>
      </w:r>
      <w:r w:rsidR="00FE0BD0" w:rsidRPr="007F452C">
        <w:rPr>
          <w:rStyle w:val="tlid-translation"/>
          <w:rFonts w:ascii="Arial" w:hAnsi="Arial" w:cs="Arial"/>
          <w:sz w:val="20"/>
          <w:szCs w:val="20"/>
          <w:lang w:val="ro-RO"/>
        </w:rPr>
        <w:t xml:space="preserve">in campurile de exploatare, </w:t>
      </w:r>
      <w:r w:rsidRPr="007F452C">
        <w:rPr>
          <w:rStyle w:val="tlid-translation"/>
          <w:rFonts w:ascii="Arial" w:hAnsi="Arial" w:cs="Arial"/>
          <w:sz w:val="20"/>
          <w:szCs w:val="20"/>
          <w:lang w:val="ro-RO"/>
        </w:rPr>
        <w:t>inclusiv Sleipner (Alnes și colab., 2008) și InSalah (Rutqvist et al, 2016).</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cadrul industriei petrolului și gazelor, </w:t>
      </w:r>
      <w:r w:rsidR="00FE0BD0" w:rsidRPr="007F452C">
        <w:rPr>
          <w:rStyle w:val="tlid-translation"/>
          <w:rFonts w:ascii="Arial" w:hAnsi="Arial" w:cs="Arial"/>
          <w:sz w:val="20"/>
          <w:szCs w:val="20"/>
          <w:lang w:val="ro-RO"/>
        </w:rPr>
        <w:t xml:space="preserve">monitorizarea </w:t>
      </w:r>
      <w:r w:rsidRPr="007F452C">
        <w:rPr>
          <w:rStyle w:val="tlid-translation"/>
          <w:rFonts w:ascii="Arial" w:hAnsi="Arial" w:cs="Arial"/>
          <w:sz w:val="20"/>
          <w:szCs w:val="20"/>
          <w:lang w:val="ro-RO"/>
        </w:rPr>
        <w:t>gravitați</w:t>
      </w:r>
      <w:r w:rsidR="00FE0BD0" w:rsidRPr="007F452C">
        <w:rPr>
          <w:rStyle w:val="tlid-translation"/>
          <w:rFonts w:ascii="Arial" w:hAnsi="Arial" w:cs="Arial"/>
          <w:sz w:val="20"/>
          <w:szCs w:val="20"/>
          <w:lang w:val="ro-RO"/>
        </w:rPr>
        <w:t>ei</w:t>
      </w:r>
      <w:r w:rsidRPr="007F452C">
        <w:rPr>
          <w:rStyle w:val="tlid-translation"/>
          <w:rFonts w:ascii="Arial" w:hAnsi="Arial" w:cs="Arial"/>
          <w:sz w:val="20"/>
          <w:szCs w:val="20"/>
          <w:lang w:val="ro-RO"/>
        </w:rPr>
        <w:t xml:space="preserve"> 4D este o alternativă eficientă din punct</w:t>
      </w:r>
      <w:r w:rsidR="00FE0BD0" w:rsidRPr="007F452C">
        <w:rPr>
          <w:rStyle w:val="tlid-translation"/>
          <w:rFonts w:ascii="Arial" w:hAnsi="Arial" w:cs="Arial"/>
          <w:sz w:val="20"/>
          <w:szCs w:val="20"/>
          <w:lang w:val="ro-RO"/>
        </w:rPr>
        <w:t>ul</w:t>
      </w:r>
      <w:r w:rsidRPr="007F452C">
        <w:rPr>
          <w:rStyle w:val="tlid-translation"/>
          <w:rFonts w:ascii="Arial" w:hAnsi="Arial" w:cs="Arial"/>
          <w:sz w:val="20"/>
          <w:szCs w:val="20"/>
          <w:lang w:val="ro-RO"/>
        </w:rPr>
        <w:t xml:space="preserve"> de vedere al costurilor sau o compl</w:t>
      </w:r>
      <w:r w:rsidR="00FE0BD0"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mentar</w:t>
      </w:r>
      <w:r w:rsidR="00FE0BD0" w:rsidRPr="007F452C">
        <w:rPr>
          <w:rStyle w:val="tlid-translation"/>
          <w:rFonts w:ascii="Arial" w:hAnsi="Arial" w:cs="Arial"/>
          <w:sz w:val="20"/>
          <w:szCs w:val="20"/>
          <w:lang w:val="ro-RO"/>
        </w:rPr>
        <w:t>itate</w:t>
      </w:r>
      <w:r w:rsidRPr="007F452C">
        <w:rPr>
          <w:rStyle w:val="tlid-translation"/>
          <w:rFonts w:ascii="Arial" w:hAnsi="Arial" w:cs="Arial"/>
          <w:sz w:val="20"/>
          <w:szCs w:val="20"/>
          <w:lang w:val="ro-RO"/>
        </w:rPr>
        <w:t xml:space="preserve"> la cea seismică convențională 4D, cu costuri de achiziție cu până la 10% față de cea a seismicului fluid. </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Monitorizarea dedicată a deformării terenului pe tot câmpul este disponibilă la o reducere suplimentară a costurilor. Cu toate acestea, fiind o opțiune viabilă pentru monitorizarea proiectelor CCS la scară largă în larg, impune noi cerințe asupra tehnologiei.</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Principalul motor al costurilor pentru monitorizarea 4D a gravitației și a deformării la sol este costul navei care crește proporțional cu durata sondajului. Prin urmare, direcționarea către operațiuni autonome a fost cea mai mare par</w:t>
      </w:r>
      <w:r w:rsidR="00B51B6F" w:rsidRPr="007F452C">
        <w:rPr>
          <w:rStyle w:val="tlid-translation"/>
          <w:rFonts w:ascii="Arial" w:hAnsi="Arial" w:cs="Arial"/>
          <w:sz w:val="20"/>
          <w:szCs w:val="20"/>
          <w:lang w:val="ro-RO"/>
        </w:rPr>
        <w:t>te a operațiunilor offshore, care</w:t>
      </w:r>
      <w:r w:rsidRPr="007F452C">
        <w:rPr>
          <w:rStyle w:val="tlid-translation"/>
          <w:rFonts w:ascii="Arial" w:hAnsi="Arial" w:cs="Arial"/>
          <w:sz w:val="20"/>
          <w:szCs w:val="20"/>
          <w:lang w:val="ro-RO"/>
        </w:rPr>
        <w:t xml:space="preserve"> automatizate sau guvernate din terenuri va reduce dramatic costurile de monitorizare. În plus, expunerea la HSE în timpul operațiunilor off-shore este minimizată.</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Alte oportunități ale operațiunilor autonome sunt permiterea unei eșantionări laterale și temporale îmbunătățite a datelor la costuri suplimentare minime. Examinarea frecventă cu o acoperire laterală densă poate, de ex. să fie important pentru depistarea penelor mici de gaze care evoluează în supraalimentare sau pentru descoperirile timpurii ale reactivă</w:t>
      </w:r>
      <w:r w:rsidR="00B51B6F" w:rsidRPr="007F452C">
        <w:rPr>
          <w:rStyle w:val="tlid-translation"/>
          <w:rFonts w:ascii="Arial" w:hAnsi="Arial" w:cs="Arial"/>
          <w:sz w:val="20"/>
          <w:szCs w:val="20"/>
          <w:lang w:val="ro-RO"/>
        </w:rPr>
        <w:t>rii fracturilor în suburbiu; și</w:t>
      </w:r>
      <w:r w:rsidRPr="007F452C">
        <w:rPr>
          <w:rStyle w:val="tlid-translation"/>
          <w:rFonts w:ascii="Arial" w:hAnsi="Arial" w:cs="Arial"/>
          <w:sz w:val="20"/>
          <w:szCs w:val="20"/>
          <w:lang w:val="ro-RO"/>
        </w:rPr>
        <w:t xml:space="preserve"> prin urmare, furnizarea de avertismente în timp util, care să faciliteze punerea în aplicare a acțiunilor adecvate de atenuare.</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Vom lucra la reducerea costurilor de monitorizare a gravitației 4D și a deformării la nivelul mării, dezvoltând în continuare software de achiziție și procesare a datelor care facilitează operațiuni mai autonome.</w:t>
      </w:r>
    </w:p>
    <w:p w:rsidR="008F0320" w:rsidRPr="007F452C" w:rsidRDefault="008F0320" w:rsidP="00BF0E88">
      <w:pPr>
        <w:pStyle w:val="Heading2"/>
        <w:rPr>
          <w:rStyle w:val="tlid-translation"/>
          <w:rFonts w:ascii="Arial" w:hAnsi="Arial" w:cs="Arial"/>
          <w:b w:val="0"/>
          <w:sz w:val="20"/>
          <w:lang w:val="ro-RO"/>
        </w:rPr>
      </w:pPr>
      <w:bookmarkStart w:id="16" w:name="_Toc26091221"/>
      <w:r w:rsidRPr="007F452C">
        <w:rPr>
          <w:rFonts w:ascii="Arial" w:hAnsi="Arial" w:cs="Arial"/>
          <w:sz w:val="20"/>
        </w:rPr>
        <w:lastRenderedPageBreak/>
        <w:t>Dezvoltarea sistemului seismic cu găuri încrucișate</w:t>
      </w:r>
      <w:bookmarkEnd w:id="16"/>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Obiectivul principal al acestui pachet de lucru va fi dezvoltarea în continuare a tomografiei transversale pentru a include măsurători ale undelor P, SH și SV. Pentru aceasta va fi dezvoltată o sursă de sunet suplimentară care produce undele SV.</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Interpretarea undelor P, SH și SV are potențialul de a oferi acces la setul complet de module elastice și de a permite o</w:t>
      </w:r>
      <w:r w:rsidR="00B51B6F" w:rsidRPr="007F452C">
        <w:rPr>
          <w:rStyle w:val="tlid-translation"/>
          <w:rFonts w:ascii="Arial" w:hAnsi="Arial" w:cs="Arial"/>
          <w:sz w:val="20"/>
          <w:szCs w:val="20"/>
          <w:lang w:val="ro-RO"/>
        </w:rPr>
        <w:t xml:space="preserve"> înțelegere a comportamentului pentru</w:t>
      </w:r>
      <w:r w:rsidRPr="007F452C">
        <w:rPr>
          <w:rStyle w:val="tlid-translation"/>
          <w:rFonts w:ascii="Arial" w:hAnsi="Arial" w:cs="Arial"/>
          <w:sz w:val="20"/>
          <w:szCs w:val="20"/>
          <w:lang w:val="ro-RO"/>
        </w:rPr>
        <w:t xml:space="preserve"> CO2 injectat. Acest lucru va fi testat prin analiza datelor colectate la un centru dedicat de testare pe teren. Măsurătorile de foraj sunt planificate în diferite etape de injecție pe câmpul Svelvik din Norvegia sau în alte câmpuri de testare disponibile la mal, pentru a măsura progresul CO2-ului injectat. Acest lucru se va face cu ajutorul tomografiei undelor P și a măsurătorilor undelor S.</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timpul primei campanii de măsurare, starea inițială va fi înregistrată înainte de injecție. Toate măsurările seismice ulterioare vor fi referite la această stare inițială și, astfel, reprezintă măsurători relative. În timpul măsurătorilor, datele seismice vor fi înregistrate atât cu senzori convenționali (hidrofoane, geofone) cât și cu sisteme cu fibră optică. </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Rezultatele anterioare folosind senzori cu fibră optică au evidențiat provocări cu utilizarea tehnologiei în acest scop, deoarece Fibrele au sensibilitate longitudinală mai mare decât laterală, ceea ce le face mai potrivite pentru măsurători de la suprafață, dar mai puțin sensibile la undele incidente lateral (așa cum este necesar pentru tomografie) . Testele efectuate în acest pachet de lucru vor evalua capabilitățile tehnologiei mai recente.</w:t>
      </w:r>
    </w:p>
    <w:p w:rsidR="008F0320" w:rsidRPr="007F452C" w:rsidRDefault="008F0320"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Pe lângă măsurătorile tomografice dintre puțuri, sunt planificate și măsurători de la suprafață până la foraj. În consultarea partenerilor implicați în proiect, sunt planificate cel puțin patru măsurători de monitorizare.</w:t>
      </w:r>
    </w:p>
    <w:p w:rsidR="00C76A24" w:rsidRPr="007F452C" w:rsidRDefault="00C76A24" w:rsidP="00BF0E88">
      <w:pPr>
        <w:pStyle w:val="Heading2"/>
        <w:rPr>
          <w:rStyle w:val="tlid-translation"/>
          <w:rFonts w:ascii="Arial" w:hAnsi="Arial" w:cs="Arial"/>
          <w:sz w:val="20"/>
          <w:lang w:val="ro-RO"/>
        </w:rPr>
      </w:pPr>
      <w:bookmarkStart w:id="17" w:name="_Toc26091222"/>
      <w:r w:rsidRPr="007F452C">
        <w:rPr>
          <w:rStyle w:val="tlid-translation"/>
          <w:rFonts w:ascii="Arial" w:hAnsi="Arial" w:cs="Arial"/>
          <w:sz w:val="20"/>
          <w:lang w:val="ro-RO"/>
        </w:rPr>
        <w:t>Interpretare integrată și cuantificarea incertitudinii</w:t>
      </w:r>
      <w:bookmarkEnd w:id="17"/>
    </w:p>
    <w:p w:rsidR="00C76A24" w:rsidRPr="007F452C" w:rsidRDefault="00C76A2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Vom efectua studii de modelare a inversării cu diferite tipuri de date (seismice standard, gravimetrie, DxS), singure și în combinații, pentru geometriile de achiziție relevante. Vom lua în considerare atât plasarea plumei în timpul injecției, cât și scurgerile în suprasolicitare. Rezultatele studiilor de modelare a inversiunilor vor furniza contribuții importante pentru proiectarea sistemului de achiziții pentru cazurile de teren. Inversările vor fi efectuate cu metode Bayesiene bazate pe ansamblu.</w:t>
      </w:r>
    </w:p>
    <w:p w:rsidR="00C76A24" w:rsidRPr="007F452C" w:rsidRDefault="00C76A2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Formularea bayesiană a unei probleme este potrivită în special pentru integrarea consecventă a diferitelor surse de date (Stuart, 2010). În setarea bayesiană, o funcție anterioară (adică, independentă de datele utilizate în actualizare) densitatea probabilității (PDF) pentru cantitatea incertă este actualizată într-un PDF posterior folosind datele. Metodele bayesiene bazate pe ansamblu oferă un eșantion care să aproximeze PDF-ul posterior pentru cantitățile necunoscute. Apoi, cea mai bună estimare este dată de media eșantionului, în timp ce incertitudinea poate fi cuantificată folosind covarianța probei.</w:t>
      </w:r>
    </w:p>
    <w:p w:rsidR="00C76A24" w:rsidRPr="007F452C" w:rsidRDefault="00C76A2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Pentru fiecare configurație de tip de date, va fi disponibilă cea mai bună estimare și o cuantificare a incertitudinii din acea estimare. Rezultatele studiului de modelare-inversare pot fi astfel utilizate pentru a deduce meritele relative ale fiecărui tip de date singur și atunci când sunt utilizate în combinație cu alte tipuri de date. Mai mult, cuantificarea incertitudinii va informa despre cât de sigur poate fi faptul că o configurație de tip de date este într-adevăr mai bună decât alta. </w:t>
      </w:r>
    </w:p>
    <w:p w:rsidR="00C76A24" w:rsidRPr="007F452C" w:rsidRDefault="00C76A2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Pentru obținerea evaluărilor sunetului din studiile de modelare inversă, zgomotul realist al datelor pentru diferitele tipuri de date (obținut din studiile de modelare efectuate în WP2) va fi instrumental.</w:t>
      </w:r>
    </w:p>
    <w:p w:rsidR="00C76A24" w:rsidRPr="007F452C" w:rsidRDefault="00C76A2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Cu utilizarea comună a diferitelor tipuri de date, o opțiune este estimarea Bayesiană secvențială (a se vedea, de exemplu, Tveit și colab., 2016, Tveit și Mannseth, 2018), adică, utilizați mai întâi un tip de date pentru a obține </w:t>
      </w:r>
      <w:r w:rsidR="00DA5384" w:rsidRPr="007F452C">
        <w:rPr>
          <w:rStyle w:val="tlid-translation"/>
          <w:rFonts w:ascii="Arial" w:hAnsi="Arial" w:cs="Arial"/>
          <w:sz w:val="20"/>
          <w:szCs w:val="20"/>
          <w:lang w:val="ro-RO"/>
        </w:rPr>
        <w:t xml:space="preserve">planul </w:t>
      </w:r>
      <w:r w:rsidRPr="007F452C">
        <w:rPr>
          <w:rStyle w:val="tlid-translation"/>
          <w:rFonts w:ascii="Arial" w:hAnsi="Arial" w:cs="Arial"/>
          <w:sz w:val="20"/>
          <w:szCs w:val="20"/>
          <w:lang w:val="ro-RO"/>
        </w:rPr>
        <w:t>asociat cu datele respective t</w:t>
      </w:r>
      <w:r w:rsidR="00DA5384"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sta</w:t>
      </w:r>
      <w:r w:rsidR="00DA5384" w:rsidRPr="007F452C">
        <w:rPr>
          <w:rStyle w:val="tlid-translation"/>
          <w:rFonts w:ascii="Arial" w:hAnsi="Arial" w:cs="Arial"/>
          <w:sz w:val="20"/>
          <w:szCs w:val="20"/>
          <w:lang w:val="ro-RO"/>
        </w:rPr>
        <w:t>te</w:t>
      </w:r>
      <w:r w:rsidRPr="007F452C">
        <w:rPr>
          <w:rStyle w:val="tlid-translation"/>
          <w:rFonts w:ascii="Arial" w:hAnsi="Arial" w:cs="Arial"/>
          <w:sz w:val="20"/>
          <w:szCs w:val="20"/>
          <w:lang w:val="ro-RO"/>
        </w:rPr>
        <w:t xml:space="preserve">, apoi lăsați acest </w:t>
      </w:r>
      <w:r w:rsidR="00DA5384" w:rsidRPr="007F452C">
        <w:rPr>
          <w:rStyle w:val="tlid-translation"/>
          <w:rFonts w:ascii="Arial" w:hAnsi="Arial" w:cs="Arial"/>
          <w:sz w:val="20"/>
          <w:szCs w:val="20"/>
          <w:lang w:val="ro-RO"/>
        </w:rPr>
        <w:t>plan s</w:t>
      </w:r>
      <w:r w:rsidRPr="007F452C">
        <w:rPr>
          <w:rStyle w:val="tlid-translation"/>
          <w:rFonts w:ascii="Arial" w:hAnsi="Arial" w:cs="Arial"/>
          <w:sz w:val="20"/>
          <w:szCs w:val="20"/>
          <w:lang w:val="ro-RO"/>
        </w:rPr>
        <w:t>ă fie actualiza</w:t>
      </w:r>
      <w:r w:rsidR="00DA5384" w:rsidRPr="007F452C">
        <w:rPr>
          <w:rStyle w:val="tlid-translation"/>
          <w:rFonts w:ascii="Arial" w:hAnsi="Arial" w:cs="Arial"/>
          <w:sz w:val="20"/>
          <w:szCs w:val="20"/>
          <w:lang w:val="ro-RO"/>
        </w:rPr>
        <w:t>t</w:t>
      </w:r>
      <w:r w:rsidRPr="007F452C">
        <w:rPr>
          <w:rStyle w:val="tlid-translation"/>
          <w:rFonts w:ascii="Arial" w:hAnsi="Arial" w:cs="Arial"/>
          <w:sz w:val="20"/>
          <w:szCs w:val="20"/>
          <w:lang w:val="ro-RO"/>
        </w:rPr>
        <w:t xml:space="preserve"> cu cel de-al doilea tip de date și așa mai departe. </w:t>
      </w:r>
    </w:p>
    <w:p w:rsidR="00C76A24" w:rsidRPr="007F452C" w:rsidRDefault="00DA5384" w:rsidP="00C76A2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A</w:t>
      </w:r>
      <w:r w:rsidR="00C76A24" w:rsidRPr="007F452C">
        <w:rPr>
          <w:rStyle w:val="tlid-translation"/>
          <w:rFonts w:ascii="Arial" w:hAnsi="Arial" w:cs="Arial"/>
          <w:sz w:val="20"/>
          <w:szCs w:val="20"/>
          <w:lang w:val="ro-RO"/>
        </w:rPr>
        <w:t xml:space="preserve">ceastă strategie va avea ca rezultat PDF-ul posterior asociat cu toate tipurile de date implicate. Evaluarea secvențială bayesiană pare deosebit de interesantă în ceea ce privește efectele ordonării tipurilor de date atunci când unele tipuri de date (de exemplu, gravimetria, DxS) au un cost mai mic și o rezoluție mai scăzută așteptată decât alte tipuri de date (de exemplu, </w:t>
      </w:r>
      <w:r w:rsidR="00B51B6F" w:rsidRPr="007F452C">
        <w:rPr>
          <w:rStyle w:val="tlid-translation"/>
          <w:rFonts w:ascii="Arial" w:hAnsi="Arial" w:cs="Arial"/>
          <w:sz w:val="20"/>
          <w:szCs w:val="20"/>
          <w:lang w:val="ro-RO"/>
        </w:rPr>
        <w:t xml:space="preserve">date </w:t>
      </w:r>
      <w:r w:rsidR="00C76A24" w:rsidRPr="007F452C">
        <w:rPr>
          <w:rStyle w:val="tlid-translation"/>
          <w:rFonts w:ascii="Arial" w:hAnsi="Arial" w:cs="Arial"/>
          <w:sz w:val="20"/>
          <w:szCs w:val="20"/>
          <w:lang w:val="ro-RO"/>
        </w:rPr>
        <w:t>seismice standard).</w:t>
      </w:r>
    </w:p>
    <w:p w:rsidR="00DA5384" w:rsidRPr="007F452C" w:rsidRDefault="00C76A24" w:rsidP="00DA5384">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NORCE Energy a dezvoltat un software de inversare intern care conține mai multe metode Bayesiene bazate pe ansamblu, care funcționează împreună cu o parametrizare non-standard, de dimensiuni reduse, care facilitează estimarea structurilor pe scară largă, cu formă și locație necunoscută (cum ar fi o graniță de plumb CO2). Acest software va constitui un element de bază în studiile de modelare, utilizând modele forward interne și modele forward furnizate de partenerii de proiect.</w:t>
      </w:r>
    </w:p>
    <w:p w:rsidR="00DA5384" w:rsidRPr="007F452C" w:rsidRDefault="00DA5384" w:rsidP="00BF0E88">
      <w:pPr>
        <w:pStyle w:val="Heading2"/>
        <w:rPr>
          <w:rStyle w:val="tlid-translation"/>
          <w:rFonts w:ascii="Arial" w:hAnsi="Arial" w:cs="Arial"/>
          <w:sz w:val="20"/>
          <w:lang w:val="ro-RO"/>
        </w:rPr>
      </w:pPr>
      <w:bookmarkStart w:id="18" w:name="_Toc26091223"/>
      <w:r w:rsidRPr="007F452C">
        <w:rPr>
          <w:rStyle w:val="tlid-translation"/>
          <w:rFonts w:ascii="Arial" w:hAnsi="Arial" w:cs="Arial"/>
          <w:sz w:val="20"/>
          <w:lang w:val="ro-RO"/>
        </w:rPr>
        <w:t xml:space="preserve">Proiectarea </w:t>
      </w:r>
      <w:r w:rsidR="00BF0E88" w:rsidRPr="007F452C">
        <w:rPr>
          <w:rStyle w:val="tlid-translation"/>
          <w:rFonts w:ascii="Arial" w:hAnsi="Arial" w:cs="Arial"/>
          <w:sz w:val="20"/>
          <w:lang w:val="ro-RO"/>
        </w:rPr>
        <w:t>s</w:t>
      </w:r>
      <w:r w:rsidRPr="007F452C">
        <w:rPr>
          <w:rStyle w:val="tlid-translation"/>
          <w:rFonts w:ascii="Arial" w:hAnsi="Arial" w:cs="Arial"/>
          <w:sz w:val="20"/>
          <w:lang w:val="ro-RO"/>
        </w:rPr>
        <w:t>istem</w:t>
      </w:r>
      <w:r w:rsidR="00BF0E88" w:rsidRPr="007F452C">
        <w:rPr>
          <w:rStyle w:val="tlid-translation"/>
          <w:rFonts w:ascii="Arial" w:hAnsi="Arial" w:cs="Arial"/>
          <w:sz w:val="20"/>
          <w:lang w:val="ro-RO"/>
        </w:rPr>
        <w:t>ului</w:t>
      </w:r>
      <w:r w:rsidRPr="007F452C">
        <w:rPr>
          <w:rStyle w:val="tlid-translation"/>
          <w:rFonts w:ascii="Arial" w:hAnsi="Arial" w:cs="Arial"/>
          <w:sz w:val="20"/>
          <w:lang w:val="ro-RO"/>
        </w:rPr>
        <w:t xml:space="preserve"> de monitorizare </w:t>
      </w:r>
      <w:r w:rsidR="00BF0E88" w:rsidRPr="007F452C">
        <w:rPr>
          <w:rStyle w:val="tlid-translation"/>
          <w:rFonts w:ascii="Arial" w:hAnsi="Arial" w:cs="Arial"/>
          <w:sz w:val="20"/>
          <w:lang w:val="ro-RO"/>
        </w:rPr>
        <w:t>axat</w:t>
      </w:r>
      <w:r w:rsidRPr="007F452C">
        <w:rPr>
          <w:rStyle w:val="tlid-translation"/>
          <w:rFonts w:ascii="Arial" w:hAnsi="Arial" w:cs="Arial"/>
          <w:sz w:val="20"/>
          <w:lang w:val="ro-RO"/>
        </w:rPr>
        <w:t xml:space="preserve"> pe securitatea oamenilor</w:t>
      </w:r>
      <w:bookmarkEnd w:id="18"/>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Sprijinul public este vital pentru dezvoltarea și desfășurarea proiectelor de stocare a CO2. Lipsa sprijinului public slăbește sprijinul politic, reduce viteza de desfășurare și accesibilitatea și poate necesita configurații tehnologice alternative și practici de guvernare a riscurilor (Watson, Kern și Markusson, 2014). Lipsa de sprijin politic a împiedicat deja desfășurarea CCS în unele țări (Raven, Kern, Verhees și Smith, 2016).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Proiectele specifice au fost, de asemenea, anulate ca urmare a opoziției publice la nivel local, de exemplu, la Barendrecht, în Olanda (Cuppen, Brunsting, Pesch și Feenstra, 2015; Terwel, ter Mors, &amp; Daamen, 2012) și Beeskow în Germania (Dütschke, 2011). Opoziția publică este uneori explicată ca fiind o lipsă de cunoștințe sau neînțelegeri cu privire la proiectele de stocare CO2 prevăzute (Susskind, 2011).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Comunitățile locale pot rezista, de asemenea, la un proiect din cauza impactului vizual, de mediu și socio-economic direct (Petrova, 2016) sau pentru că proiectul nu se potrivește cu semnificațiile locului local (Devine-Wright &amp; Batel, 2017). Cu toate acestea, în multe cazuri, nu este vorba de lipsă de cunoștințe, ci de încredere în aspecte sistemice, astfel încât părțile interesate pur și simplu nu cred ceea ce</w:t>
      </w:r>
      <w:r w:rsidR="00DE3127" w:rsidRPr="007F452C">
        <w:rPr>
          <w:rStyle w:val="tlid-translation"/>
          <w:rFonts w:ascii="Arial" w:hAnsi="Arial" w:cs="Arial"/>
          <w:sz w:val="20"/>
          <w:szCs w:val="20"/>
          <w:lang w:val="ro-RO"/>
        </w:rPr>
        <w:t xml:space="preserve"> li</w:t>
      </w:r>
      <w:r w:rsidRPr="007F452C">
        <w:rPr>
          <w:rStyle w:val="tlid-translation"/>
          <w:rFonts w:ascii="Arial" w:hAnsi="Arial" w:cs="Arial"/>
          <w:sz w:val="20"/>
          <w:szCs w:val="20"/>
          <w:lang w:val="ro-RO"/>
        </w:rPr>
        <w:t xml:space="preserve"> se spune.</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Unul dintre obiectivele DigiMon este de a afla dacă și cum aceste sisteme de monitorizare pentru CCS pot ajuta la ameliorarea preocupărilor comunităților locale cu privire la orice impact. Cu toate acestea, sprijinul acestor comunități pentru proiect se bazează în primul rând pe distribuirea echitabilă a costurilor și beneficiilor, pe procesul de luare a deciziilor corecte și pe crearea încrederii în dezvoltatori și autorități de guvernare (Huijts, Molin și Steg, 2012; Wüstenhagen et al. , 2007; Van Engelenburg &amp; Puts, 2015) și pentru a clarifica, de asemenea, care sunt avantajele posibile pentru o comunitate.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Proiectele de infrastructură și energie anterioare arată că nu numai implicarea tuturor părților interesate relevante în procesul de luare a deciziilor sunt cruciale, ci și modul în care sunt luate în considerare perspective diferite, interese conflictuale și preocupări în proiectarea proiectului din timp (Puts &amp; Rijnveld, 2011; Duijn , Puts &amp; Boxem, 2013).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Mai mult decât atât, cercetările în sociologia ignoranței au arătat că o comunicare clară a incertitudinilor și a lacunelor de cunoștințe și chiar a rezultatelor needificante poate crește încrederea într-o organizație și o tehnologie, atât timp cât argumentele aduse publicului sunt percepute a fi oneste și congruente cu motive </w:t>
      </w:r>
      <w:r w:rsidR="00DE3127" w:rsidRPr="007F452C">
        <w:rPr>
          <w:rStyle w:val="tlid-translation"/>
          <w:rFonts w:ascii="Arial" w:hAnsi="Arial" w:cs="Arial"/>
          <w:sz w:val="20"/>
          <w:szCs w:val="20"/>
          <w:lang w:val="ro-RO"/>
        </w:rPr>
        <w:t xml:space="preserve">deduse </w:t>
      </w:r>
      <w:r w:rsidRPr="007F452C">
        <w:rPr>
          <w:rStyle w:val="tlid-translation"/>
          <w:rFonts w:ascii="Arial" w:hAnsi="Arial" w:cs="Arial"/>
          <w:sz w:val="20"/>
          <w:szCs w:val="20"/>
          <w:lang w:val="ro-RO"/>
        </w:rPr>
        <w:t>ale organizației sau ale oamenilor de știință implicați (cf. Maxim și Mansier 2014; Gross and Bleicher 2013).</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În ciuda tuturor acestor perspective asupra factorilor sociali care influențează succesul dezvoltării și implementării proiectelor de stocare a CO2, cercetările au arătat, de asemenea, că în tranziția către sisteme energetice cu emisii reduse de carbon, schimbările tehnologice, mai degrabă decât schimbările sociale, sunt prioritare în mod constant în dezbateri. privind viitorul energetic alternativ, în ciuda schimbărilor culturale și instituționale necesare pentru a reduce dependența de combustibil fosil. Atracția politică a CCS ca o abordare importantă de atenuare a schimbărilor climatice arată tendința către optimismul tehnologic și modul în care promisiunile corecțiilor tehnologice au dominat discursul politic în jurul atenuării climei.</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lastRenderedPageBreak/>
        <w:t xml:space="preserve">Acest lucru se conectează, de asemenea, la faptul că, în discursul public, impactul real al unei eventuale scurgeri de CO2 dintr-un rezervor de stocare este adesea perceput uniform ca impact cu risc ridicat și cu pericol mare.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Cu toate acestea, impactul diferitelor scenarii de scurgere și pericolul real pentru sănătate și mediu este foarte variabil. Ruperea conductelor de înaltă presiune poate duce la explozii fatale sau nori de gaz sufocant, în timp ce o eliberare subterană de CO2 poate duce la eliberarea unei cantități minore de CO2 la viteze lente în atmosferă, dar cu impact uman sau risc redus.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 xml:space="preserve">Percepția publică de astăzi sugerează toate cazurile menționate mai sus ca în detrimentul reputației operatorului.O abordare axată doar pe comunicarea beneficiilor monitorizării către public este puțin probabil să încurajeze sprijinul pentru proiect (chiarOrange Seigo, Wallquist, Dohle și Siegrist, 2011). </w:t>
      </w:r>
    </w:p>
    <w:p w:rsidR="00DA5384" w:rsidRPr="007F452C" w:rsidRDefault="00DA5384" w:rsidP="00772CD7">
      <w:pPr>
        <w:spacing w:after="120" w:line="276" w:lineRule="auto"/>
        <w:rPr>
          <w:rStyle w:val="tlid-translation"/>
          <w:rFonts w:ascii="Arial" w:hAnsi="Arial" w:cs="Arial"/>
          <w:b/>
          <w:sz w:val="20"/>
          <w:szCs w:val="20"/>
          <w:lang w:val="ro-RO"/>
        </w:rPr>
      </w:pPr>
      <w:r w:rsidRPr="007F452C">
        <w:rPr>
          <w:rStyle w:val="tlid-translation"/>
          <w:rFonts w:ascii="Arial" w:hAnsi="Arial" w:cs="Arial"/>
          <w:sz w:val="20"/>
          <w:szCs w:val="20"/>
          <w:lang w:val="ro-RO"/>
        </w:rPr>
        <w:t>Programele de cercetare anterioare asupra activităților miniere au aflat că participarea tuturor părților interesate relevante și luarea în considerare a percepțiilor, intereselor, întrebărilor și preocupărilor lor față de un proiect sau tehnologie sunt factori cheie pentru integrarea societății a noilor tehnologii energetice și favorizează justiția procedurală, încrederea în dezvoltatorii proiectului și autoritățile de guvernare și sprijin public pentru proiect (Duijn &amp; Puts, 2013).</w:t>
      </w:r>
    </w:p>
    <w:p w:rsidR="008F0320" w:rsidRPr="007F452C" w:rsidRDefault="00187695" w:rsidP="00C03001">
      <w:pPr>
        <w:pStyle w:val="Heading1"/>
        <w:spacing w:before="480"/>
        <w:ind w:left="1138" w:hanging="1138"/>
        <w:rPr>
          <w:rStyle w:val="tlid-translation"/>
          <w:rFonts w:ascii="Arial" w:hAnsi="Arial" w:cs="Arial"/>
          <w:sz w:val="20"/>
        </w:rPr>
      </w:pPr>
      <w:bookmarkStart w:id="19" w:name="_Toc26091224"/>
      <w:r w:rsidRPr="007F452C">
        <w:rPr>
          <w:rStyle w:val="tlid-translation"/>
          <w:rFonts w:ascii="Arial" w:hAnsi="Arial" w:cs="Arial"/>
          <w:sz w:val="20"/>
        </w:rPr>
        <w:t>I</w:t>
      </w:r>
      <w:r w:rsidR="008F0320" w:rsidRPr="007F452C">
        <w:rPr>
          <w:rStyle w:val="tlid-translation"/>
          <w:rFonts w:ascii="Arial" w:hAnsi="Arial" w:cs="Arial"/>
          <w:sz w:val="20"/>
        </w:rPr>
        <w:t>ntegrarea componentelor</w:t>
      </w:r>
      <w:bookmarkEnd w:id="19"/>
    </w:p>
    <w:p w:rsidR="008F0320" w:rsidRPr="007F452C" w:rsidRDefault="008F0320" w:rsidP="00187695">
      <w:pPr>
        <w:pStyle w:val="ListParagraph"/>
        <w:spacing w:after="120"/>
        <w:ind w:left="0"/>
        <w:rPr>
          <w:rFonts w:ascii="Arial" w:hAnsi="Arial" w:cs="Arial"/>
          <w:sz w:val="20"/>
          <w:szCs w:val="20"/>
          <w:lang w:val="ro-RO"/>
        </w:rPr>
      </w:pPr>
      <w:r w:rsidRPr="007F452C">
        <w:rPr>
          <w:rStyle w:val="tlid-translation"/>
          <w:rFonts w:ascii="Arial" w:hAnsi="Arial" w:cs="Arial"/>
          <w:sz w:val="20"/>
          <w:szCs w:val="20"/>
          <w:lang w:val="ro-RO"/>
        </w:rPr>
        <w:t>Scopul acest</w:t>
      </w:r>
      <w:r w:rsidR="00D675F1" w:rsidRPr="007F452C">
        <w:rPr>
          <w:rStyle w:val="tlid-translation"/>
          <w:rFonts w:ascii="Arial" w:hAnsi="Arial" w:cs="Arial"/>
          <w:sz w:val="20"/>
          <w:szCs w:val="20"/>
          <w:lang w:val="ro-RO"/>
        </w:rPr>
        <w:t xml:space="preserve">ei activitati </w:t>
      </w:r>
      <w:r w:rsidRPr="007F452C">
        <w:rPr>
          <w:rStyle w:val="tlid-translation"/>
          <w:rFonts w:ascii="Arial" w:hAnsi="Arial" w:cs="Arial"/>
          <w:sz w:val="20"/>
          <w:szCs w:val="20"/>
          <w:lang w:val="ro-RO"/>
        </w:rPr>
        <w:t>este integrarea diferitelor componente ale strategiei DigiMon într-un sistem viabil, fiabil și rentabil de avertizare timpurie. Pentru a răspunde la întrebările cheie de cercetare necesare îndeplinirii acestui obiectiv, am identificat patru pachete de lucrări secundare. Descrierile metodelor care trebuie utilizate în pachetele individuale sunt prezentate mai jos.</w:t>
      </w:r>
      <w:r w:rsidRPr="007F452C">
        <w:rPr>
          <w:rFonts w:ascii="Arial" w:hAnsi="Arial" w:cs="Arial"/>
          <w:sz w:val="20"/>
          <w:szCs w:val="20"/>
          <w:lang w:val="ro-RO"/>
        </w:rPr>
        <w:br/>
      </w:r>
      <w:r w:rsidRPr="007F452C">
        <w:rPr>
          <w:rStyle w:val="tlid-translation"/>
          <w:rFonts w:ascii="Arial" w:hAnsi="Arial" w:cs="Arial"/>
          <w:sz w:val="20"/>
          <w:szCs w:val="20"/>
          <w:lang w:val="ro-RO"/>
        </w:rPr>
        <w:t>Principalele provocări care trebuie abordate în acest pachet de lucru sunt:</w:t>
      </w:r>
    </w:p>
    <w:p w:rsidR="008F0320" w:rsidRPr="007F452C" w:rsidRDefault="008F0320" w:rsidP="00187695">
      <w:pPr>
        <w:pStyle w:val="ListParagraph"/>
        <w:numPr>
          <w:ilvl w:val="1"/>
          <w:numId w:val="28"/>
        </w:numPr>
        <w:spacing w:after="120"/>
        <w:ind w:left="720"/>
        <w:rPr>
          <w:rFonts w:ascii="Arial" w:hAnsi="Arial" w:cs="Arial"/>
          <w:sz w:val="20"/>
          <w:szCs w:val="20"/>
          <w:lang w:val="ro-RO"/>
        </w:rPr>
      </w:pPr>
      <w:r w:rsidRPr="007F452C">
        <w:rPr>
          <w:rStyle w:val="tlid-translation"/>
          <w:rFonts w:ascii="Arial" w:hAnsi="Arial" w:cs="Arial"/>
          <w:sz w:val="20"/>
          <w:szCs w:val="20"/>
          <w:lang w:val="ro-RO"/>
        </w:rPr>
        <w:t>Adaptarea sistemul de monitorizare la soluțiile standard deschise prevalente și emergente de date și platforme de comunicare</w:t>
      </w:r>
    </w:p>
    <w:p w:rsidR="008F0320" w:rsidRPr="007F452C" w:rsidRDefault="008F0320" w:rsidP="00187695">
      <w:pPr>
        <w:pStyle w:val="ListParagraph"/>
        <w:numPr>
          <w:ilvl w:val="1"/>
          <w:numId w:val="28"/>
        </w:numPr>
        <w:spacing w:after="120"/>
        <w:ind w:left="720"/>
        <w:rPr>
          <w:rFonts w:ascii="Arial" w:hAnsi="Arial" w:cs="Arial"/>
          <w:sz w:val="20"/>
          <w:szCs w:val="20"/>
          <w:lang w:val="ro-RO"/>
        </w:rPr>
      </w:pPr>
      <w:r w:rsidRPr="007F452C">
        <w:rPr>
          <w:rStyle w:val="tlid-translation"/>
          <w:rFonts w:ascii="Arial" w:hAnsi="Arial" w:cs="Arial"/>
          <w:sz w:val="20"/>
          <w:szCs w:val="20"/>
          <w:lang w:val="ro-RO"/>
        </w:rPr>
        <w:t>Optimizarea sistemului de monitorizare în ceea ce privește tipurile de date, combinațiile de tipuri de date și geometria achiziției</w:t>
      </w:r>
    </w:p>
    <w:p w:rsidR="00187695" w:rsidRPr="007F452C" w:rsidRDefault="008F0320" w:rsidP="00BF0E88">
      <w:pPr>
        <w:pStyle w:val="Heading2"/>
        <w:rPr>
          <w:rStyle w:val="tlid-translation"/>
          <w:rFonts w:ascii="Arial" w:hAnsi="Arial" w:cs="Arial"/>
          <w:sz w:val="20"/>
          <w:lang w:val="ro-RO"/>
        </w:rPr>
      </w:pPr>
      <w:bookmarkStart w:id="20" w:name="_Toc26091225"/>
      <w:r w:rsidRPr="007F452C">
        <w:rPr>
          <w:rStyle w:val="tlid-translation"/>
          <w:rFonts w:ascii="Arial" w:hAnsi="Arial" w:cs="Arial"/>
          <w:sz w:val="20"/>
          <w:lang w:val="ro-RO"/>
        </w:rPr>
        <w:t>Evaluarea pregătirii tehnologice a componentelor DigiMon</w:t>
      </w:r>
      <w:bookmarkEnd w:id="20"/>
    </w:p>
    <w:p w:rsidR="008F0320" w:rsidRPr="007F452C" w:rsidRDefault="008F0320"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Pentru a identifica soluția optimă de monitorizare pentru un proiect CCS specific, pragurile de detecție specifice sitului trebuie să fie cuplate la capacitățile diferitelor elemente tehnologice aplicate separat și în combinație.</w:t>
      </w:r>
    </w:p>
    <w:p w:rsidR="008F0320" w:rsidRPr="007F452C" w:rsidRDefault="008F0320"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Se va efectua o evaluare a pregătirii tehnologice (TR</w:t>
      </w:r>
      <w:r w:rsidR="00187695" w:rsidRPr="007F452C">
        <w:rPr>
          <w:rStyle w:val="tlid-translation"/>
          <w:rFonts w:ascii="Arial" w:hAnsi="Arial" w:cs="Arial"/>
          <w:sz w:val="20"/>
          <w:szCs w:val="20"/>
          <w:lang w:val="ro-RO"/>
        </w:rPr>
        <w:t>L</w:t>
      </w:r>
      <w:r w:rsidRPr="007F452C">
        <w:rPr>
          <w:rStyle w:val="tlid-translation"/>
          <w:rFonts w:ascii="Arial" w:hAnsi="Arial" w:cs="Arial"/>
          <w:sz w:val="20"/>
          <w:szCs w:val="20"/>
          <w:lang w:val="ro-RO"/>
        </w:rPr>
        <w:t>), care examinează critic cerințele tehnologice, costurile de achiziție și capacitățile tehnologice demonstrate pentru componentele DigiMon. O evaluare a nivelului realist de zgomot în diferitele tipuri de date va fi inclusă și va constitui un parametru de intrare important pentru analiza de cuantificare a incertitudinii efectuată în WP2b.</w:t>
      </w:r>
    </w:p>
    <w:p w:rsidR="008F0320" w:rsidRPr="007F452C" w:rsidRDefault="008F0320"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Analiza cerințelor tehnologice va fi reglementată de reglementările publice, cerințele stabilite de percepția publică (WP3) și pragurile de detecție specifice sitului.</w:t>
      </w:r>
    </w:p>
    <w:p w:rsidR="00187695" w:rsidRPr="007F452C" w:rsidRDefault="008F0320"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Pentru a determina pragul de detecție specific site-ului, va fi realizată o modelare detaliată a răspunsurilor de semnal preconizate pentru diferitele tipuri de date. Campul de undă seismic complet al site-</w:t>
      </w:r>
      <w:r w:rsidR="00187695" w:rsidRPr="007F452C">
        <w:rPr>
          <w:rStyle w:val="tlid-translation"/>
          <w:rFonts w:ascii="Arial" w:hAnsi="Arial" w:cs="Arial"/>
          <w:sz w:val="20"/>
          <w:szCs w:val="20"/>
          <w:lang w:val="ro-RO"/>
        </w:rPr>
        <w:t>urilor selectate va fi modelat</w:t>
      </w:r>
      <w:r w:rsidRPr="007F452C">
        <w:rPr>
          <w:rStyle w:val="tlid-translation"/>
          <w:rFonts w:ascii="Arial" w:hAnsi="Arial" w:cs="Arial"/>
          <w:sz w:val="20"/>
          <w:szCs w:val="20"/>
          <w:lang w:val="ro-RO"/>
        </w:rPr>
        <w:t xml:space="preserve">. </w:t>
      </w:r>
    </w:p>
    <w:p w:rsidR="00187695" w:rsidRPr="007F452C" w:rsidRDefault="008F0320"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Apoi, pentru a simula comportamentul DAS așteptat, câmpul de undă seismic va fi cuplat la funcțiile de transfer dezvoltate în WP1. Pentru a simula înălțarea la mare și / sau subzistența, vor fi construite modele (modelele) geomecanice ale site-urilor selectate. </w:t>
      </w:r>
    </w:p>
    <w:p w:rsidR="008F0320" w:rsidRPr="007F452C" w:rsidRDefault="00D675F1" w:rsidP="00187695">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Aceste modele geomecanice</w:t>
      </w:r>
      <w:r w:rsidR="008F0320" w:rsidRPr="007F452C">
        <w:rPr>
          <w:rStyle w:val="tlid-translation"/>
          <w:rFonts w:ascii="Arial" w:hAnsi="Arial" w:cs="Arial"/>
          <w:sz w:val="20"/>
          <w:szCs w:val="20"/>
          <w:lang w:val="ro-RO"/>
        </w:rPr>
        <w:t xml:space="preserve"> vor fi apoi cuplate la xxx pentru a simula măsurătorile DSS. Pentru modelarea răspunsului la gravitație 4D la software-ul de pe litoral furnizat de NORCE Energy și OCTIO</w:t>
      </w:r>
      <w:r w:rsidR="00187695" w:rsidRPr="007F452C">
        <w:rPr>
          <w:rStyle w:val="tlid-translation"/>
          <w:rFonts w:ascii="Arial" w:hAnsi="Arial" w:cs="Arial"/>
          <w:sz w:val="20"/>
          <w:szCs w:val="20"/>
          <w:lang w:val="ro-RO"/>
        </w:rPr>
        <w:t xml:space="preserve"> E</w:t>
      </w:r>
      <w:r w:rsidR="008F0320" w:rsidRPr="007F452C">
        <w:rPr>
          <w:rStyle w:val="tlid-translation"/>
          <w:rFonts w:ascii="Arial" w:hAnsi="Arial" w:cs="Arial"/>
          <w:sz w:val="20"/>
          <w:szCs w:val="20"/>
          <w:lang w:val="ro-RO"/>
        </w:rPr>
        <w:t>nvironmetal vor fi aplicate.</w:t>
      </w:r>
    </w:p>
    <w:p w:rsidR="008F0320" w:rsidRPr="007F452C" w:rsidRDefault="008F0320" w:rsidP="00BF0E88">
      <w:pPr>
        <w:pStyle w:val="ListParagraph"/>
        <w:spacing w:after="120"/>
        <w:ind w:left="0"/>
        <w:jc w:val="both"/>
        <w:rPr>
          <w:rFonts w:ascii="Arial" w:hAnsi="Arial" w:cs="Arial"/>
          <w:sz w:val="20"/>
          <w:szCs w:val="20"/>
          <w:lang w:val="ro-RO"/>
        </w:rPr>
      </w:pPr>
      <w:r w:rsidRPr="007F452C">
        <w:rPr>
          <w:rStyle w:val="tlid-translation"/>
          <w:rFonts w:ascii="Arial" w:hAnsi="Arial" w:cs="Arial"/>
          <w:sz w:val="20"/>
          <w:szCs w:val="20"/>
          <w:lang w:val="ro-RO"/>
        </w:rPr>
        <w:lastRenderedPageBreak/>
        <w:t>Opțional, testul de câmp poate fi utilizat pentru a confirma lucrările de modelare.</w:t>
      </w:r>
      <w:r w:rsidRPr="007F452C">
        <w:rPr>
          <w:rFonts w:ascii="Arial" w:hAnsi="Arial" w:cs="Arial"/>
          <w:sz w:val="20"/>
          <w:szCs w:val="20"/>
          <w:lang w:val="ro-RO"/>
        </w:rPr>
        <w:br/>
      </w:r>
      <w:r w:rsidRPr="007F452C">
        <w:rPr>
          <w:rStyle w:val="tlid-translation"/>
          <w:rFonts w:ascii="Arial" w:hAnsi="Arial" w:cs="Arial"/>
          <w:sz w:val="20"/>
          <w:szCs w:val="20"/>
          <w:lang w:val="ro-RO"/>
        </w:rPr>
        <w:t>Analizele TR</w:t>
      </w:r>
      <w:r w:rsidR="00D675F1" w:rsidRPr="007F452C">
        <w:rPr>
          <w:rStyle w:val="tlid-translation"/>
          <w:rFonts w:ascii="Arial" w:hAnsi="Arial" w:cs="Arial"/>
          <w:sz w:val="20"/>
          <w:szCs w:val="20"/>
          <w:lang w:val="ro-RO"/>
        </w:rPr>
        <w:t>L</w:t>
      </w:r>
      <w:r w:rsidRPr="007F452C">
        <w:rPr>
          <w:rStyle w:val="tlid-translation"/>
          <w:rFonts w:ascii="Arial" w:hAnsi="Arial" w:cs="Arial"/>
          <w:sz w:val="20"/>
          <w:szCs w:val="20"/>
          <w:lang w:val="ro-RO"/>
        </w:rPr>
        <w:t xml:space="preserve"> oferă o bază de cunoștințe pentru a stabili un cadru pentru optimizarea geometriilor de achiziție și a frecvențelor de achiziție atât pentru tipurile de date individuale, cât și ca componente ale sis</w:t>
      </w:r>
      <w:r w:rsidR="00187695" w:rsidRPr="007F452C">
        <w:rPr>
          <w:rStyle w:val="tlid-translation"/>
          <w:rFonts w:ascii="Arial" w:hAnsi="Arial" w:cs="Arial"/>
          <w:sz w:val="20"/>
          <w:szCs w:val="20"/>
          <w:lang w:val="ro-RO"/>
        </w:rPr>
        <w:t>temului de monitorizare general</w:t>
      </w:r>
      <w:r w:rsidRPr="007F452C">
        <w:rPr>
          <w:rStyle w:val="tlid-translation"/>
          <w:rFonts w:ascii="Arial" w:hAnsi="Arial" w:cs="Arial"/>
          <w:sz w:val="20"/>
          <w:szCs w:val="20"/>
          <w:lang w:val="ro-RO"/>
        </w:rPr>
        <w:t>.</w:t>
      </w:r>
    </w:p>
    <w:p w:rsidR="00187695" w:rsidRPr="007F452C" w:rsidRDefault="00187695" w:rsidP="00BF0E88">
      <w:pPr>
        <w:pStyle w:val="Heading2"/>
        <w:rPr>
          <w:rStyle w:val="tlid-translation"/>
          <w:rFonts w:ascii="Arial" w:hAnsi="Arial" w:cs="Arial"/>
          <w:sz w:val="20"/>
          <w:lang w:val="ro-RO"/>
        </w:rPr>
      </w:pPr>
      <w:bookmarkStart w:id="21" w:name="_Toc26091226"/>
      <w:r w:rsidRPr="007F452C">
        <w:rPr>
          <w:rStyle w:val="tlid-translation"/>
          <w:rFonts w:ascii="Arial" w:hAnsi="Arial" w:cs="Arial"/>
          <w:sz w:val="20"/>
          <w:lang w:val="ro-RO"/>
        </w:rPr>
        <w:t>Practicile unui sistem de monitorizare</w:t>
      </w:r>
      <w:bookmarkEnd w:id="21"/>
    </w:p>
    <w:p w:rsidR="00187695" w:rsidRPr="007F452C" w:rsidRDefault="00187695"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Trecerea de la achiziții de date cu forță de muncă intensă până la desfășurarea permanentă a senzorilor cu costuri reduse la nivelul litoralului sau al operațiunilor fără pilot va reduce dramatic costurile de monitorizare. Proiectul DigiMon își propune să aducă soluțiile de monitorizare mai departe în această direcție, cu majoritatea achizițiilor și procesării datelor care urmează să fie controlate din țară.</w:t>
      </w:r>
    </w:p>
    <w:p w:rsidR="00187695" w:rsidRPr="007F452C" w:rsidRDefault="00187695"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 întrebare esențială va fi atunci cum să asigurați transferul de date pe teren. O soluție este combinarea unui vehicul de suprafață fără pilot (USV) și un ROV cablat pentru colectarea datelor (de exemplu, astfel cum este dezvoltat în proiectul ARTIFEX, </w:t>
      </w:r>
      <w:hyperlink r:id="rId21" w:history="1">
        <w:r w:rsidR="00C76A24" w:rsidRPr="007F452C">
          <w:rPr>
            <w:rStyle w:val="Hyperlink"/>
            <w:rFonts w:ascii="Arial" w:hAnsi="Arial" w:cs="Arial"/>
            <w:sz w:val="20"/>
            <w:szCs w:val="20"/>
            <w:lang w:val="ro-RO"/>
          </w:rPr>
          <w:t>https://www.sintef.no/prosjekter/artifex/</w:t>
        </w:r>
      </w:hyperlink>
      <w:r w:rsidRPr="007F452C">
        <w:rPr>
          <w:rStyle w:val="tlid-translation"/>
          <w:rFonts w:ascii="Arial" w:hAnsi="Arial" w:cs="Arial"/>
          <w:sz w:val="20"/>
          <w:szCs w:val="20"/>
          <w:lang w:val="ro-RO"/>
        </w:rPr>
        <w:t xml:space="preserve">). În mod alternativ, se poate avea în vedere punerea în aplicare a unei stații de andocare submarină (HUB) pentru energie wireless și subsea de transfer de date. </w:t>
      </w:r>
    </w:p>
    <w:p w:rsidR="00187695" w:rsidRPr="007F452C" w:rsidRDefault="00187695"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Cu aceste soluții, datele vor fi digitalizate și transferate către țărm prin sisteme standard de furnizare a energiei electrice și comunicații cu fibră optică, cum ar fi tehnologia DC / FOTM de la Alcatel Subsea Networks și Equinor (Vareille et al., 2017).</w:t>
      </w:r>
    </w:p>
    <w:p w:rsidR="00187695" w:rsidRPr="007F452C" w:rsidRDefault="00187695"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 sarcină cheie va fi participarea și influențarea dezvoltării standardelor pentru comunicarea submarină și transferul de energie într-o direcție potrivită pentru viitoarele aplicații CCS. Această lucrare va fi făcută prin participarea la rețele industriale și forumuri de standardizare tehnologică, cum ar fi SWiG, SIIS, SEAFOM și Energistics, pentru a influența deciziile pentru a răspunde cerințelor de monitorizare rentabilă și a site-urilor CCS. </w:t>
      </w:r>
    </w:p>
    <w:p w:rsidR="00187695" w:rsidRPr="007F452C" w:rsidRDefault="00187695" w:rsidP="00187695">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Elementele care nu au legătură directă cu comunicarea submarină vor fi, de asemenea, cercetate și urmărite, prin organizații precum ITU-T, IEEE și grupuri conexe. Standarde particulare de interes sunt sincronizarea și alimentarea precisă pe Ethernet, precum și diverse interfețe fizice, adică două cabluri Ethernet (utilizate în principal în IoT și industria auto), precum și standarde fibreoptice de lungă durată și diverse standarde radio.</w:t>
      </w:r>
    </w:p>
    <w:p w:rsidR="00187695" w:rsidRPr="007F452C" w:rsidRDefault="00187695" w:rsidP="00187695">
      <w:pPr>
        <w:spacing w:after="120" w:line="276" w:lineRule="auto"/>
        <w:rPr>
          <w:rFonts w:ascii="Arial" w:hAnsi="Arial" w:cs="Arial"/>
          <w:sz w:val="20"/>
          <w:szCs w:val="20"/>
        </w:rPr>
      </w:pPr>
      <w:r w:rsidRPr="007F452C">
        <w:rPr>
          <w:rStyle w:val="tlid-translation"/>
          <w:rFonts w:ascii="Arial" w:hAnsi="Arial" w:cs="Arial"/>
          <w:sz w:val="20"/>
          <w:szCs w:val="20"/>
          <w:lang w:val="ro-RO"/>
        </w:rPr>
        <w:t xml:space="preserve"> Standardele emergente în cadrul procesului de calcul de înaltă performanță și stocarea de date vor fi, de asemenea, evaluate, pe lângă soluțiile standard de la furnizori. Aceasta poate implica utilizarea de procesare paralelă, aparate dedicate GPU / FPGA, cloud computing și stocare.</w:t>
      </w:r>
    </w:p>
    <w:p w:rsidR="00187695" w:rsidRPr="007F452C" w:rsidRDefault="00187695" w:rsidP="00187695">
      <w:pPr>
        <w:spacing w:after="120" w:line="276" w:lineRule="auto"/>
        <w:rPr>
          <w:rFonts w:ascii="Arial" w:hAnsi="Arial" w:cs="Arial"/>
          <w:sz w:val="20"/>
          <w:szCs w:val="20"/>
        </w:rPr>
      </w:pPr>
      <w:r w:rsidRPr="007F452C">
        <w:rPr>
          <w:rStyle w:val="tlid-translation"/>
          <w:rFonts w:ascii="Arial" w:hAnsi="Arial" w:cs="Arial"/>
          <w:sz w:val="20"/>
          <w:szCs w:val="20"/>
          <w:lang w:val="ro-RO"/>
        </w:rPr>
        <w:t>Prin această lucrare, ne vom asigura, de asemenea, că toate evoluțiile din cadrul proiectului DigiMon atât în ceea ce privește protocoalele de date, cât și platformele de comunicare vor fi în conformitate cu standardele alese și practicile recomandate care sunt considerate prevalente în industrie.</w:t>
      </w:r>
    </w:p>
    <w:p w:rsidR="00187695" w:rsidRPr="007F452C" w:rsidRDefault="00187695" w:rsidP="00187695">
      <w:pPr>
        <w:spacing w:after="120" w:line="276" w:lineRule="auto"/>
        <w:rPr>
          <w:rFonts w:ascii="Arial" w:hAnsi="Arial" w:cs="Arial"/>
          <w:b/>
          <w:i/>
          <w:sz w:val="20"/>
          <w:szCs w:val="20"/>
        </w:rPr>
      </w:pPr>
    </w:p>
    <w:p w:rsidR="00187695" w:rsidRPr="007F452C" w:rsidRDefault="00BF0E88" w:rsidP="00187695">
      <w:pPr>
        <w:pStyle w:val="xxxmsonormal"/>
        <w:spacing w:after="120" w:line="276" w:lineRule="auto"/>
        <w:jc w:val="both"/>
        <w:rPr>
          <w:rStyle w:val="tlid-translation"/>
          <w:rFonts w:ascii="Arial" w:hAnsi="Arial" w:cs="Arial"/>
          <w:b/>
          <w:sz w:val="20"/>
          <w:szCs w:val="20"/>
          <w:lang w:val="ro-RO"/>
        </w:rPr>
      </w:pPr>
      <w:r w:rsidRPr="007F452C">
        <w:rPr>
          <w:rStyle w:val="tlid-translation"/>
          <w:rFonts w:ascii="Arial" w:hAnsi="Arial" w:cs="Arial"/>
          <w:b/>
          <w:sz w:val="20"/>
          <w:szCs w:val="20"/>
          <w:lang w:val="ro-RO"/>
        </w:rPr>
        <w:t xml:space="preserve">3.3. </w:t>
      </w:r>
      <w:r w:rsidR="00187695" w:rsidRPr="007F452C">
        <w:rPr>
          <w:rStyle w:val="tlid-translation"/>
          <w:rFonts w:ascii="Arial" w:hAnsi="Arial" w:cs="Arial"/>
          <w:b/>
          <w:sz w:val="20"/>
          <w:szCs w:val="20"/>
          <w:lang w:val="ro-RO"/>
        </w:rPr>
        <w:t>Integrarea sistemului DigiMon</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Este im</w:t>
      </w:r>
      <w:r w:rsidR="00875902" w:rsidRPr="007F452C">
        <w:rPr>
          <w:rStyle w:val="tlid-translation"/>
          <w:rFonts w:ascii="Arial" w:hAnsi="Arial" w:cs="Arial"/>
          <w:sz w:val="20"/>
          <w:szCs w:val="20"/>
          <w:lang w:val="ro-RO"/>
        </w:rPr>
        <w:t>p</w:t>
      </w:r>
      <w:r w:rsidRPr="007F452C">
        <w:rPr>
          <w:rStyle w:val="tlid-translation"/>
          <w:rFonts w:ascii="Arial" w:hAnsi="Arial" w:cs="Arial"/>
          <w:sz w:val="20"/>
          <w:szCs w:val="20"/>
          <w:lang w:val="ro-RO"/>
        </w:rPr>
        <w:t>ortant să furniz</w:t>
      </w:r>
      <w:r w:rsidR="00875902" w:rsidRPr="007F452C">
        <w:rPr>
          <w:rStyle w:val="tlid-translation"/>
          <w:rFonts w:ascii="Arial" w:hAnsi="Arial" w:cs="Arial"/>
          <w:sz w:val="20"/>
          <w:szCs w:val="20"/>
          <w:lang w:val="ro-RO"/>
        </w:rPr>
        <w:t>am</w:t>
      </w:r>
      <w:r w:rsidRPr="007F452C">
        <w:rPr>
          <w:rStyle w:val="tlid-translation"/>
          <w:rFonts w:ascii="Arial" w:hAnsi="Arial" w:cs="Arial"/>
          <w:sz w:val="20"/>
          <w:szCs w:val="20"/>
          <w:lang w:val="ro-RO"/>
        </w:rPr>
        <w:t xml:space="preserve"> specificații ale sistemului DigiMon astfel încât să ofere un echilibru optim între capacitatea de a asigura monitorizarea</w:t>
      </w:r>
      <w:r w:rsidR="00875902" w:rsidRPr="007F452C">
        <w:rPr>
          <w:rStyle w:val="tlid-translation"/>
          <w:rFonts w:ascii="Arial" w:hAnsi="Arial" w:cs="Arial"/>
          <w:sz w:val="20"/>
          <w:szCs w:val="20"/>
          <w:lang w:val="ro-RO"/>
        </w:rPr>
        <w:t>, conformitatea si consistenta datelor</w:t>
      </w:r>
      <w:r w:rsidRPr="007F452C">
        <w:rPr>
          <w:rStyle w:val="tlid-translation"/>
          <w:rFonts w:ascii="Arial" w:hAnsi="Arial" w:cs="Arial"/>
          <w:sz w:val="20"/>
          <w:szCs w:val="20"/>
          <w:lang w:val="ro-RO"/>
        </w:rPr>
        <w:t>, păstrând costurile la minimum și, în același timp, păstr</w:t>
      </w:r>
      <w:r w:rsidR="00875902" w:rsidRPr="007F452C">
        <w:rPr>
          <w:rStyle w:val="tlid-translation"/>
          <w:rFonts w:ascii="Arial" w:hAnsi="Arial" w:cs="Arial"/>
          <w:sz w:val="20"/>
          <w:szCs w:val="20"/>
          <w:lang w:val="ro-RO"/>
        </w:rPr>
        <w:t>and</w:t>
      </w:r>
      <w:r w:rsidRPr="007F452C">
        <w:rPr>
          <w:rStyle w:val="tlid-translation"/>
          <w:rFonts w:ascii="Arial" w:hAnsi="Arial" w:cs="Arial"/>
          <w:sz w:val="20"/>
          <w:szCs w:val="20"/>
          <w:lang w:val="ro-RO"/>
        </w:rPr>
        <w:t xml:space="preserve"> acceptarea publică a CCS ca instrument important pentru atenuarea schimbărilor climatice.</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Operațiunea cadru bayesiană dezvoltată în WP2 oferă un instrument eficient pentru optimizarea sistemului de monitorizare cu privire la tipurile de date, combinații de date și geometrii de achiziție, luând în considerare percepția și costurile publice.</w:t>
      </w:r>
    </w:p>
    <w:p w:rsidR="00D4226D"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Metodologia bayesiană implică o specificație prealabilă pentru variabilele de interes bazate pe cunoștințe generale și modele de probabilitate care leagă </w:t>
      </w:r>
      <w:r w:rsidR="00D4226D" w:rsidRPr="007F452C">
        <w:rPr>
          <w:rStyle w:val="tlid-translation"/>
          <w:rFonts w:ascii="Arial" w:hAnsi="Arial" w:cs="Arial"/>
          <w:sz w:val="20"/>
          <w:szCs w:val="20"/>
          <w:lang w:val="ro-RO"/>
        </w:rPr>
        <w:t>aceste variabile cu măsurători.</w:t>
      </w:r>
    </w:p>
    <w:p w:rsidR="00D4226D"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Diverse surse de date sunt, de obicei, independente condiționat, având în vedere variabilele subiacente de interes, deoarece măsurătorile sunt făcute de senzori diferiți, în momente sau locații spațiale</w:t>
      </w:r>
      <w:r w:rsidR="001E45F8" w:rsidRPr="007F452C">
        <w:rPr>
          <w:rStyle w:val="tlid-translation"/>
          <w:rFonts w:ascii="Arial" w:hAnsi="Arial" w:cs="Arial"/>
          <w:sz w:val="20"/>
          <w:szCs w:val="20"/>
          <w:lang w:val="ro-RO"/>
        </w:rPr>
        <w:t>diferite</w:t>
      </w:r>
      <w:r w:rsidRPr="007F452C">
        <w:rPr>
          <w:rStyle w:val="tlid-translation"/>
          <w:rFonts w:ascii="Arial" w:hAnsi="Arial" w:cs="Arial"/>
          <w:sz w:val="20"/>
          <w:szCs w:val="20"/>
          <w:lang w:val="ro-RO"/>
        </w:rPr>
        <w:t xml:space="preserve">. </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Fără condiționarea variabilelor de interes, diferitele tipuri de măsurare sunt cuplate sau redundante, deoarece reflectă stări similare ale variabilelor. </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Modelele statistice utilizate anterior și probabilitatea</w:t>
      </w:r>
      <w:r w:rsidR="001E45F8"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 pun constrângeri probabilistice parametrilor în sensul că relațiile fizice sau chimice sunt satisfăcute, iar unele configurații comune sunt mult mai probabile decât altele.</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Impactul datelor depinde de modelele de probabilitate și de cunoștințele anterioare. Dacă există mult zgomot de măsurare sau dacă măsurătorile sunt extrem de redundante, s-ar putea să nu existe prea multă influență atunci când condiționarea datelor, sau un subset de măsurători oferă în mod efectiv la fel de multe informații ca toate măsurătorile. </w:t>
      </w:r>
    </w:p>
    <w:p w:rsidR="00D4226D"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Dacă diferitele date sunt mai exacte sau captează diferiți parametri ai sistemului, datele au un impact </w:t>
      </w:r>
      <w:r w:rsidR="001E45F8" w:rsidRPr="007F452C">
        <w:rPr>
          <w:rStyle w:val="tlid-translation"/>
          <w:rFonts w:ascii="Arial" w:hAnsi="Arial" w:cs="Arial"/>
          <w:sz w:val="20"/>
          <w:szCs w:val="20"/>
          <w:lang w:val="ro-RO"/>
        </w:rPr>
        <w:t>mai mare</w:t>
      </w:r>
      <w:r w:rsidRPr="007F452C">
        <w:rPr>
          <w:rStyle w:val="tlid-translation"/>
          <w:rFonts w:ascii="Arial" w:hAnsi="Arial" w:cs="Arial"/>
          <w:sz w:val="20"/>
          <w:szCs w:val="20"/>
          <w:lang w:val="ro-RO"/>
        </w:rPr>
        <w:t xml:space="preserve"> și există o schimbare mai mare între modelul anterior și cel posterior (condiționat de date). </w:t>
      </w:r>
    </w:p>
    <w:p w:rsidR="00D4226D"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Cunoștințele despre valoarea relativă a informațiilor din diferite tipuri de date</w:t>
      </w:r>
      <w:r w:rsidR="00D4226D"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singure sau în combinație, pot fi utilizate pentru a evalua diferite</w:t>
      </w:r>
      <w:r w:rsidR="00D4226D" w:rsidRPr="007F452C">
        <w:rPr>
          <w:rStyle w:val="tlid-translation"/>
          <w:rFonts w:ascii="Arial" w:hAnsi="Arial" w:cs="Arial"/>
          <w:sz w:val="20"/>
          <w:szCs w:val="20"/>
          <w:lang w:val="ro-RO"/>
        </w:rPr>
        <w:t>le</w:t>
      </w:r>
      <w:r w:rsidRPr="007F452C">
        <w:rPr>
          <w:rStyle w:val="tlid-translation"/>
          <w:rFonts w:ascii="Arial" w:hAnsi="Arial" w:cs="Arial"/>
          <w:sz w:val="20"/>
          <w:szCs w:val="20"/>
          <w:lang w:val="ro-RO"/>
        </w:rPr>
        <w:t xml:space="preserve"> surse de date sau modele de monitorizare înainte de colectarea datelor (Eidsvik et al., 2015). </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Acest</w:t>
      </w:r>
      <w:r w:rsidR="00D4226D" w:rsidRPr="007F452C">
        <w:rPr>
          <w:rStyle w:val="tlid-translation"/>
          <w:rFonts w:ascii="Arial" w:hAnsi="Arial" w:cs="Arial"/>
          <w:sz w:val="20"/>
          <w:szCs w:val="20"/>
          <w:lang w:val="ro-RO"/>
        </w:rPr>
        <w:t xml:space="preserve">e cunostinte </w:t>
      </w:r>
      <w:r w:rsidRPr="007F452C">
        <w:rPr>
          <w:rStyle w:val="tlid-translation"/>
          <w:rFonts w:ascii="Arial" w:hAnsi="Arial" w:cs="Arial"/>
          <w:sz w:val="20"/>
          <w:szCs w:val="20"/>
          <w:lang w:val="ro-RO"/>
        </w:rPr>
        <w:t>oferă criteri</w:t>
      </w:r>
      <w:r w:rsidR="00D4226D"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 pentru evaluarea valorii adiționale medii a datelor, în comparație cu înțelegerea noastră actuală.</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Metodologia de mai sus va fi folosită pentru planificarea proiectelor de sondaj, pentru evaluarea măsurătorilor care sunt mai valoroase în diverse situații și pentru planificarea unde sau când trebuie să achiziționați sau să procesați anumite tipuri de măsurători.</w:t>
      </w:r>
    </w:p>
    <w:p w:rsidR="00187695" w:rsidRPr="007F452C" w:rsidRDefault="00187695" w:rsidP="00187695">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În acest cadru, se va pune accentul special pe găsirea combinației optime de seismic convențional și DAS. Această analiză se va baza pe evoluțiile obținute în WP1 și WP2 pentru a oferi orientări pentru proiectarea unui sistem care să îmbunătățească valoarea ambelor tehnologii atunci când este văzut în combinație.</w:t>
      </w:r>
    </w:p>
    <w:p w:rsidR="00187695" w:rsidRPr="007F452C" w:rsidRDefault="00187695" w:rsidP="00187695">
      <w:pPr>
        <w:pStyle w:val="xxxmsonormal"/>
        <w:spacing w:after="120" w:line="276" w:lineRule="auto"/>
        <w:jc w:val="both"/>
        <w:rPr>
          <w:rFonts w:ascii="Arial" w:hAnsi="Arial" w:cs="Arial"/>
          <w:sz w:val="20"/>
          <w:szCs w:val="20"/>
          <w:lang w:val="ro-RO"/>
        </w:rPr>
      </w:pPr>
      <w:r w:rsidRPr="007F452C">
        <w:rPr>
          <w:rStyle w:val="tlid-translation"/>
          <w:rFonts w:ascii="Arial" w:hAnsi="Arial" w:cs="Arial"/>
          <w:sz w:val="20"/>
          <w:szCs w:val="20"/>
          <w:lang w:val="ro-RO"/>
        </w:rPr>
        <w:t>În plus față de monitorizarea deformației bazate pe sondaj, așa cum este descris în (Ruiz și colab., 2016), utilizarea DSS descrisă în (WP1 și WP2) poate fi o opțiune pentru proiectele CCS în larg. Pe baza rezultatelor studiilor efectuate în aceste pachete de lucru, se va efectua o evaluare, de asemenea, pe combinația optimă de monitorizare a deformării bazinelor bazate pe sondaj și DSS.</w:t>
      </w:r>
    </w:p>
    <w:p w:rsidR="00D4226D" w:rsidRPr="007F452C" w:rsidRDefault="00187695" w:rsidP="00BF0E88">
      <w:pPr>
        <w:pStyle w:val="xxxmsonormal"/>
        <w:spacing w:after="120" w:line="276" w:lineRule="auto"/>
        <w:jc w:val="both"/>
        <w:rPr>
          <w:rStyle w:val="tlid-translation"/>
          <w:rFonts w:ascii="Arial" w:hAnsi="Arial" w:cs="Arial"/>
          <w:sz w:val="20"/>
          <w:szCs w:val="20"/>
          <w:lang w:val="ro-RO"/>
        </w:rPr>
      </w:pPr>
      <w:r w:rsidRPr="007F452C">
        <w:rPr>
          <w:rStyle w:val="tlid-translation"/>
          <w:rFonts w:ascii="Arial" w:hAnsi="Arial" w:cs="Arial"/>
          <w:sz w:val="20"/>
          <w:szCs w:val="20"/>
          <w:lang w:val="ro-RO"/>
        </w:rPr>
        <w:t>În literatura de specialitate, există câteva exemple despre modul în care informațiile provenite din gravitația seismică și 4D convențională la nivelul mării</w:t>
      </w:r>
      <w:r w:rsidR="001E45F8"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 au fost utilizate în combinație pentru a monitoriza caracteristicile subsolului care nu sunt accesibile folosind fiecare tip de date separat (Chadwick și colab., 2005; Alnes et al. 2011; Hauge și Kolbjørnsen 2015; Landrø și Zumberge 2017; Mannseth et al. 2018). </w:t>
      </w:r>
    </w:p>
    <w:p w:rsidR="00875902" w:rsidRPr="007F452C" w:rsidRDefault="00187695" w:rsidP="00BF0E88">
      <w:pPr>
        <w:pStyle w:val="xxxmsonormal"/>
        <w:spacing w:after="120" w:line="276" w:lineRule="auto"/>
        <w:jc w:val="both"/>
        <w:rPr>
          <w:rFonts w:ascii="Arial" w:hAnsi="Arial" w:cs="Arial"/>
          <w:sz w:val="20"/>
          <w:szCs w:val="20"/>
        </w:rPr>
      </w:pPr>
      <w:r w:rsidRPr="007F452C">
        <w:rPr>
          <w:rStyle w:val="tlid-translation"/>
          <w:rFonts w:ascii="Arial" w:hAnsi="Arial" w:cs="Arial"/>
          <w:sz w:val="20"/>
          <w:szCs w:val="20"/>
          <w:lang w:val="ro-RO"/>
        </w:rPr>
        <w:t>Pe baza formelor de experiență din literatura și noile evoluții prezentate în WP2, se vor oferi linii directoare pentru optimizarea combinației dintre gravitatea seismică și 4D.</w:t>
      </w:r>
      <w:bookmarkEnd w:id="7"/>
    </w:p>
    <w:p w:rsidR="00875902" w:rsidRPr="007F452C" w:rsidRDefault="00875902" w:rsidP="00BF0E88">
      <w:pPr>
        <w:pStyle w:val="Heading2"/>
        <w:rPr>
          <w:rFonts w:ascii="Arial" w:hAnsi="Arial" w:cs="Arial"/>
          <w:sz w:val="20"/>
        </w:rPr>
      </w:pPr>
      <w:bookmarkStart w:id="22" w:name="_Toc26091227"/>
      <w:r w:rsidRPr="007F452C">
        <w:rPr>
          <w:rFonts w:ascii="Arial" w:hAnsi="Arial" w:cs="Arial"/>
          <w:sz w:val="20"/>
        </w:rPr>
        <w:t>Sistemul de monitorizare</w:t>
      </w:r>
      <w:bookmarkEnd w:id="22"/>
    </w:p>
    <w:p w:rsidR="00875902" w:rsidRPr="007F452C" w:rsidRDefault="00875902" w:rsidP="00580186">
      <w:pPr>
        <w:pStyle w:val="Heading3"/>
        <w:rPr>
          <w:rStyle w:val="tlid-translation"/>
          <w:rFonts w:ascii="Arial" w:hAnsi="Arial" w:cs="Arial"/>
          <w:b w:val="0"/>
          <w:sz w:val="20"/>
          <w:lang w:val="ro-RO"/>
        </w:rPr>
      </w:pPr>
      <w:bookmarkStart w:id="23" w:name="_Toc26091228"/>
      <w:r w:rsidRPr="007F452C">
        <w:rPr>
          <w:rStyle w:val="tlid-translation"/>
          <w:rFonts w:ascii="Arial" w:hAnsi="Arial" w:cs="Arial"/>
          <w:b w:val="0"/>
          <w:sz w:val="20"/>
          <w:lang w:val="ro-RO"/>
        </w:rPr>
        <w:t>Tehnologii de monitorizare a suprafeței</w:t>
      </w:r>
      <w:bookmarkEnd w:id="23"/>
    </w:p>
    <w:p w:rsidR="004902E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Metodele seismice sunt principalul instrument de explorare și monitorizare a industriei hidrocarburilor și vor constitui o componentă tehnologică centrală în industria de stocare a CO2, </w:t>
      </w:r>
      <w:r w:rsidR="004C1E34" w:rsidRPr="007F452C">
        <w:rPr>
          <w:rStyle w:val="tlid-translation"/>
          <w:rFonts w:ascii="Arial" w:hAnsi="Arial" w:cs="Arial"/>
          <w:sz w:val="20"/>
          <w:szCs w:val="20"/>
          <w:lang w:val="ro-RO"/>
        </w:rPr>
        <w:t>care este</w:t>
      </w:r>
      <w:r w:rsidRPr="007F452C">
        <w:rPr>
          <w:rStyle w:val="tlid-translation"/>
          <w:rFonts w:ascii="Arial" w:hAnsi="Arial" w:cs="Arial"/>
          <w:sz w:val="20"/>
          <w:szCs w:val="20"/>
          <w:lang w:val="ro-RO"/>
        </w:rPr>
        <w:t xml:space="preserve"> în creștere.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Utilizarea implementărilor streamer convenționale de matrice sursă și hidrofoane sunt metode de supraveghere standard atât pentru imagistica 3D cât și 4D.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Tehnologia de pe fundul mării și monitorizarea permanentă a rezervoarelor (PRM) a înregistrat progrese dramatice în ultimele două decenii, sistemele fiind desfășurate în numeroase câmpuri petroliere din Marea Nordului (de exemplu, Valhall a fost unul dintre primele - van Gestel et al., 2008). </w:t>
      </w:r>
    </w:p>
    <w:p w:rsidR="0058018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 xml:space="preserve">Mai recent, instalarea </w:t>
      </w:r>
      <w:r w:rsidR="004C1E34" w:rsidRPr="007F452C">
        <w:rPr>
          <w:rStyle w:val="tlid-translation"/>
          <w:rFonts w:ascii="Arial" w:hAnsi="Arial" w:cs="Arial"/>
          <w:sz w:val="20"/>
          <w:szCs w:val="20"/>
          <w:lang w:val="ro-RO"/>
        </w:rPr>
        <w:t xml:space="preserve">pe </w:t>
      </w:r>
      <w:r w:rsidRPr="007F452C">
        <w:rPr>
          <w:rStyle w:val="tlid-translation"/>
          <w:rFonts w:ascii="Arial" w:hAnsi="Arial" w:cs="Arial"/>
          <w:sz w:val="20"/>
          <w:szCs w:val="20"/>
          <w:lang w:val="ro-RO"/>
        </w:rPr>
        <w:t>fundului m</w:t>
      </w:r>
      <w:r w:rsidR="004C1E34" w:rsidRPr="007F452C">
        <w:rPr>
          <w:rStyle w:val="tlid-translation"/>
          <w:rFonts w:ascii="Arial" w:hAnsi="Arial" w:cs="Arial"/>
          <w:sz w:val="20"/>
          <w:szCs w:val="20"/>
          <w:lang w:val="ro-RO"/>
        </w:rPr>
        <w:t>ării a fost utilizată ca sistem</w:t>
      </w:r>
      <w:r w:rsidRPr="007F452C">
        <w:rPr>
          <w:rStyle w:val="tlid-translation"/>
          <w:rFonts w:ascii="Arial" w:hAnsi="Arial" w:cs="Arial"/>
          <w:sz w:val="20"/>
          <w:szCs w:val="20"/>
          <w:lang w:val="ro-RO"/>
        </w:rPr>
        <w:t xml:space="preserve"> de monitorizare seismică pasivă, de exemplu, pentru a monitoriza stimularea hidraulică a fracturilor (Chambers et al., 2010). </w:t>
      </w:r>
    </w:p>
    <w:p w:rsidR="004902E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cele din urmă, desfășurarea seismică a forajelor de hidrofoane și geofoane sunt utilizate în mod obișnuit pentru anchetele VSP, dar și pentru monitorizarea seismică pasivă. </w:t>
      </w:r>
    </w:p>
    <w:p w:rsidR="00BF0E88"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Valhall și Ekofisk au fost printre primele câmpuri petroliere care au utilizat monitorizarea microseismului în foraje (de exemplu, Maxwell și colab., 1998). </w:t>
      </w:r>
    </w:p>
    <w:p w:rsidR="004902E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Monitorizarea forajului cu metode de fibre și seismice este probabil să fie o componentă centrală a MMV în stocarea CO2.</w:t>
      </w:r>
    </w:p>
    <w:p w:rsidR="004902E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Folosirea cablurilor cu fibră optică pentru a monitoriza suprafața este una dintre zonele cu cea mai rapidă creștere din sectorul energetic al hidrocarburilor și este utilizată în mod obișnuit în monitorizarea temperaturii (Hartog, 2017).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Detectarea tensiunii în timp real este de asemenea aplicată pentru monitorizarea compactării rezervorului (Koelman, 2011), iar datele complementare pot fi furnizate de senzorul de presiune cu fibră optică (Drakeley și Omdal, 2008). </w:t>
      </w:r>
    </w:p>
    <w:p w:rsidR="0058018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Prima probă de explorare și producție (E&amp;P) din terenul tehnologiei DAS Fibra optică a fost realizată de Shell Canada în timpul finalizării unui puț de gaz strâns în februarie 2009 (Molenaar, 2012) și a fost demonstrată în mod eficient în achiziționarea de profiluri seismice verticale (VSP) în industriile hidrocarburilor și CCS (de exemplu, Harris și colab., 2016; Meek și colab., 2017).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Studii recente au arătat că tehnologia Fiber poate fi utilizată pentru a detecta scurgerile de </w:t>
      </w:r>
      <w:r w:rsidR="004C1E34" w:rsidRPr="007F452C">
        <w:rPr>
          <w:rStyle w:val="tlid-translation"/>
          <w:rFonts w:ascii="Arial" w:hAnsi="Arial" w:cs="Arial"/>
          <w:sz w:val="20"/>
          <w:szCs w:val="20"/>
          <w:lang w:val="ro-RO"/>
        </w:rPr>
        <w:t>gaz</w:t>
      </w:r>
      <w:r w:rsidRPr="007F452C">
        <w:rPr>
          <w:rStyle w:val="tlid-translation"/>
          <w:rFonts w:ascii="Arial" w:hAnsi="Arial" w:cs="Arial"/>
          <w:sz w:val="20"/>
          <w:szCs w:val="20"/>
          <w:lang w:val="ro-RO"/>
        </w:rPr>
        <w:t xml:space="preserve"> și mișcarea fluidelor (de exemplu, Boone și colab., 2014; Webster și colab., 2013a) și pentru a identifica cutremurele microseismice (de exemplu, Webster și colab., 2013b). Mai mult, există un potențial considerabil în utilizarea Fibrei pentru a monitoriza modificările chimice (Antman și colab., 2016).</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Sondajele de deformare gravitațională 4D și de pe malul mării sunt alte tehnologii mature pentru monitorizarea geofizică a rezervoarelor de hidrocarburi din larg (Lien și colab., 2017).</w:t>
      </w:r>
    </w:p>
    <w:p w:rsidR="0058018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Tehnologiile, dezvoltate intern în Equinor, au fost utilizate cu succes în șapte câmpuri de pe raftul continental norvegian, inclusiv câmpurile Sleipner și Snøhvit, care au atât producție de hidrocarburi, cât și injecție de CO2.</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La Sleipner, datele de gravitație în timp, odată integrate cu informații volumetrice din măsurările seismice și de temperatură la sondă și rezervor, au fost utilizate pentru a constrânge mai bine densitatea de CO2 din plumb și pentru a stabili limite superioare pe fracția dizolvată de CO2 în saramură. (Alnes și colab. 2011, Hauge și Kolbjørnsen, 2015).</w:t>
      </w:r>
    </w:p>
    <w:p w:rsidR="00580186"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Experiența din onshore </w:t>
      </w:r>
      <w:r w:rsidR="00580186"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 xml:space="preserve">n proiectul Salah CO2 a demonstrat că datele de deformare a suprafeței frecvente și de înaltă rezoluție pot contribui la identificarea sau eliminarea reactivării defectelor (Ringrose et al., 2013).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Pentru aplicațiile offshore, tehnologia InSAR nu este aplicabilă, dar metodele de sondare a gravitației și deformării discutate aici oferă o precizie similară de până la 2 mm (Ruiz et al., 2015).</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p>
    <w:p w:rsidR="00875902" w:rsidRPr="007F452C" w:rsidRDefault="00875902" w:rsidP="00580186">
      <w:pPr>
        <w:pStyle w:val="Heading3"/>
        <w:rPr>
          <w:rStyle w:val="tlid-translation"/>
          <w:rFonts w:ascii="Arial" w:hAnsi="Arial" w:cs="Arial"/>
          <w:sz w:val="20"/>
          <w:lang w:val="ro-RO"/>
        </w:rPr>
      </w:pPr>
      <w:bookmarkStart w:id="24" w:name="_Toc26091229"/>
      <w:r w:rsidRPr="007F452C">
        <w:rPr>
          <w:rStyle w:val="tlid-translation"/>
          <w:rFonts w:ascii="Arial" w:hAnsi="Arial" w:cs="Arial"/>
          <w:b w:val="0"/>
          <w:sz w:val="20"/>
          <w:lang w:val="ro-RO"/>
        </w:rPr>
        <w:t>Monitorizare seismică</w:t>
      </w:r>
      <w:r w:rsidRPr="007F452C">
        <w:rPr>
          <w:rFonts w:ascii="Arial" w:hAnsi="Arial" w:cs="Arial"/>
          <w:sz w:val="20"/>
        </w:rPr>
        <w:t xml:space="preserve"> </w:t>
      </w:r>
      <w:r w:rsidRPr="007F452C">
        <w:rPr>
          <w:rFonts w:ascii="Arial" w:hAnsi="Arial" w:cs="Arial"/>
          <w:b w:val="0"/>
          <w:sz w:val="20"/>
        </w:rPr>
        <w:t>(</w:t>
      </w:r>
      <w:r w:rsidRPr="007F452C">
        <w:rPr>
          <w:rStyle w:val="tlid-translation"/>
          <w:rFonts w:ascii="Arial" w:hAnsi="Arial" w:cs="Arial"/>
          <w:b w:val="0"/>
          <w:sz w:val="20"/>
          <w:lang w:val="ro-RO"/>
        </w:rPr>
        <w:t>Studii seismice active - 3D și 4D)</w:t>
      </w:r>
      <w:bookmarkEnd w:id="24"/>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Pentru piața de sondaj seismic 3D offshore, cel mai obișnuit proiect de sondaj pentru a imagina sub-suprafața, folosește cabluri seismice marine (streamere) remorcate dintr-o sursă combinată și o navă cu senzor seismic (achiziție).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Pentru instalarea de senzori pe fundul mării, noduri autonome (instalate de vehicule de la distanță (ROV)) sau alte metode) sau noduri de senzori cablate pot fi instalate, fie temporar (pentru un singur sondaj), fie permanent (pentru mai multe sondaje sau aplicații de monitorizare continuă a rezervorului ). Pentru proiectele PRM, cablurile receptorului sunt în mod obișnuit trenate în fundul mării, </w:t>
      </w:r>
      <w:r w:rsidR="0097715D" w:rsidRPr="007F452C">
        <w:rPr>
          <w:rStyle w:val="tlid-translation"/>
          <w:rFonts w:ascii="Arial" w:hAnsi="Arial" w:cs="Arial"/>
          <w:sz w:val="20"/>
          <w:szCs w:val="20"/>
          <w:lang w:val="ro-RO"/>
        </w:rPr>
        <w:t>la</w:t>
      </w:r>
      <w:r w:rsidRPr="007F452C">
        <w:rPr>
          <w:rStyle w:val="tlid-translation"/>
          <w:rFonts w:ascii="Arial" w:hAnsi="Arial" w:cs="Arial"/>
          <w:sz w:val="20"/>
          <w:szCs w:val="20"/>
          <w:lang w:val="ro-RO"/>
        </w:rPr>
        <w:t xml:space="preserve"> 0,5-1 m adâncime. </w:t>
      </w:r>
    </w:p>
    <w:p w:rsidR="00875902"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Aceasta este metoda preferată pentru monitorizarea în timp a rezervoarelor de petrol și gaz offshore, pentru recuperarea crescută și monitorizarea injecțiilor pentru aspecte de siguranță și protecție a mediului.</w:t>
      </w:r>
    </w:p>
    <w:p w:rsidR="00DD387F" w:rsidRPr="007F452C" w:rsidRDefault="00DD387F" w:rsidP="00875902">
      <w:pPr>
        <w:pStyle w:val="ListParagraph"/>
        <w:spacing w:after="120"/>
        <w:ind w:left="0"/>
        <w:jc w:val="both"/>
        <w:rPr>
          <w:rStyle w:val="tlid-translation"/>
          <w:rFonts w:ascii="Arial" w:hAnsi="Arial" w:cs="Arial"/>
          <w:sz w:val="20"/>
          <w:szCs w:val="20"/>
          <w:lang w:val="ro-RO"/>
        </w:rPr>
      </w:pPr>
      <w:r w:rsidRPr="007F452C">
        <w:rPr>
          <w:rFonts w:ascii="Arial" w:hAnsi="Arial" w:cs="Arial"/>
          <w:sz w:val="20"/>
          <w:szCs w:val="20"/>
        </w:rPr>
        <w:t xml:space="preserve">Monitorizarea seismicitatii teritoriului </w:t>
      </w:r>
      <w:proofErr w:type="gramStart"/>
      <w:r w:rsidRPr="007F452C">
        <w:rPr>
          <w:rFonts w:ascii="Arial" w:hAnsi="Arial" w:cs="Arial"/>
          <w:sz w:val="20"/>
          <w:szCs w:val="20"/>
        </w:rPr>
        <w:t>este</w:t>
      </w:r>
      <w:proofErr w:type="gramEnd"/>
      <w:r w:rsidRPr="007F452C">
        <w:rPr>
          <w:rFonts w:ascii="Arial" w:hAnsi="Arial" w:cs="Arial"/>
          <w:sz w:val="20"/>
          <w:szCs w:val="20"/>
        </w:rPr>
        <w:t xml:space="preserve"> unul din obiectivele importante, avand ca scop principal detectarea si localizarea in cel mai scurt timp a tuturor evenimentelor potentiale, seismice produse pe teritoriul monitorizat. Aceste informatii sunt transmise rapid pentru informarea pe de o parte a factorilor locali de </w:t>
      </w:r>
      <w:r w:rsidRPr="007F452C">
        <w:rPr>
          <w:rFonts w:ascii="Arial" w:hAnsi="Arial" w:cs="Arial"/>
          <w:sz w:val="20"/>
          <w:szCs w:val="20"/>
        </w:rPr>
        <w:lastRenderedPageBreak/>
        <w:t>decizie, pe de alta parte partenerilor sociali, autoritatilor, inspectoratelor pentru situatii de urgenta, mass mediei si publicului, iar in cazul evenimentelor puternice, pentru alertarea acestor institutii cu un rol deosebit de important in caz de dezastru la cutremur.</w:t>
      </w:r>
    </w:p>
    <w:p w:rsidR="004902E6" w:rsidRPr="007F452C" w:rsidRDefault="004902E6" w:rsidP="00875902">
      <w:pPr>
        <w:pStyle w:val="ListParagraph"/>
        <w:spacing w:after="120"/>
        <w:ind w:left="0"/>
        <w:jc w:val="both"/>
        <w:rPr>
          <w:rFonts w:ascii="Arial" w:hAnsi="Arial" w:cs="Arial"/>
          <w:sz w:val="20"/>
          <w:szCs w:val="20"/>
        </w:rPr>
      </w:pPr>
      <w:r w:rsidRPr="007F452C">
        <w:rPr>
          <w:rFonts w:ascii="Arial" w:hAnsi="Arial" w:cs="Arial"/>
          <w:sz w:val="20"/>
          <w:szCs w:val="20"/>
        </w:rPr>
        <w:t xml:space="preserve">Inginerii specializati in proiectarea geotehnica se confrunta adesea cu o gama variata eterogenitati naturale ale terenului de fundare precum si cu cativa parametri de proiectare ale caror valori nu pot fi determinate cu acuratete prin teste in situ sau in laborator , dar care trebuie implementati in calculul structurilor geotehnice. </w:t>
      </w:r>
    </w:p>
    <w:p w:rsidR="004902E6" w:rsidRPr="007F452C" w:rsidRDefault="004902E6" w:rsidP="00875902">
      <w:pPr>
        <w:pStyle w:val="ListParagraph"/>
        <w:spacing w:after="120"/>
        <w:ind w:left="0"/>
        <w:jc w:val="both"/>
        <w:rPr>
          <w:rFonts w:ascii="Arial" w:hAnsi="Arial" w:cs="Arial"/>
          <w:sz w:val="20"/>
          <w:szCs w:val="20"/>
        </w:rPr>
      </w:pPr>
      <w:proofErr w:type="gramStart"/>
      <w:r w:rsidRPr="007F452C">
        <w:rPr>
          <w:rFonts w:ascii="Arial" w:hAnsi="Arial" w:cs="Arial"/>
          <w:sz w:val="20"/>
          <w:szCs w:val="20"/>
        </w:rPr>
        <w:t>Instrumentarea adecvata a structurilor geotehnice si a terenului de fundare, poate oferi inginerilor proiectanti importante repere de performanta, pe parcursul fiecarei etape a proiectului.</w:t>
      </w:r>
      <w:proofErr w:type="gramEnd"/>
      <w:r w:rsidRPr="007F452C">
        <w:rPr>
          <w:rFonts w:ascii="Arial" w:hAnsi="Arial" w:cs="Arial"/>
          <w:sz w:val="20"/>
          <w:szCs w:val="20"/>
        </w:rPr>
        <w:t xml:space="preserve"> </w:t>
      </w:r>
    </w:p>
    <w:p w:rsidR="004902E6" w:rsidRPr="007F452C" w:rsidRDefault="004902E6" w:rsidP="00875902">
      <w:pPr>
        <w:pStyle w:val="ListParagraph"/>
        <w:spacing w:after="120"/>
        <w:ind w:left="0"/>
        <w:jc w:val="both"/>
        <w:rPr>
          <w:rStyle w:val="tlid-translation"/>
          <w:rFonts w:ascii="Arial" w:hAnsi="Arial" w:cs="Arial"/>
          <w:sz w:val="20"/>
          <w:szCs w:val="20"/>
          <w:lang w:val="ro-RO"/>
        </w:rPr>
      </w:pPr>
      <w:r w:rsidRPr="007F452C">
        <w:rPr>
          <w:rFonts w:ascii="Arial" w:hAnsi="Arial" w:cs="Arial"/>
          <w:sz w:val="20"/>
          <w:szCs w:val="20"/>
        </w:rPr>
        <w:t xml:space="preserve">Datele furnizate de instrumentele de monitorizare instalate in puncte-cheie, pot fi folosite pentru a caracteriza starea initiala a terenului de fundare, pentru a verifica ipotezele de proiectare, furnizeaza date pentru utilizare in controlul calitatii in timpul executiei, permit urmarirea indeaproape </w:t>
      </w:r>
      <w:proofErr w:type="gramStart"/>
      <w:r w:rsidRPr="007F452C">
        <w:rPr>
          <w:rFonts w:ascii="Arial" w:hAnsi="Arial" w:cs="Arial"/>
          <w:sz w:val="20"/>
          <w:szCs w:val="20"/>
        </w:rPr>
        <w:t>a</w:t>
      </w:r>
      <w:proofErr w:type="gramEnd"/>
      <w:r w:rsidRPr="007F452C">
        <w:rPr>
          <w:rFonts w:ascii="Arial" w:hAnsi="Arial" w:cs="Arial"/>
          <w:sz w:val="20"/>
          <w:szCs w:val="20"/>
        </w:rPr>
        <w:t xml:space="preserve"> influentei asupra structurilor adiacente precum si avertizarea din timp a unor cedari iminente.</w:t>
      </w:r>
    </w:p>
    <w:p w:rsidR="00DD387F" w:rsidRPr="007F452C" w:rsidRDefault="00875902" w:rsidP="00875902">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Sondajele seismice 3D sunt tehnologia cheie pentru monitorizarea distribuției de CO2 injectat (de exemplu, Bickle și colab., 2007; Roach și White, 2018); să urmărească mișcarea CO2 în formațiunile geologice; și pentru a estima saturația de CO2 (de exemplu, Landrø și Zumberge, 2017) și grosimea stratului de CO2 (Kiær, 2015). </w:t>
      </w:r>
    </w:p>
    <w:p w:rsidR="00875902" w:rsidRPr="007F452C" w:rsidRDefault="00875902" w:rsidP="00875902">
      <w:pPr>
        <w:pStyle w:val="ListParagraph"/>
        <w:spacing w:after="120"/>
        <w:ind w:left="0"/>
        <w:jc w:val="both"/>
        <w:rPr>
          <w:rFonts w:ascii="Arial" w:hAnsi="Arial" w:cs="Arial"/>
          <w:sz w:val="20"/>
          <w:szCs w:val="20"/>
        </w:rPr>
      </w:pPr>
      <w:r w:rsidRPr="007F452C">
        <w:rPr>
          <w:rStyle w:val="tlid-translation"/>
          <w:rFonts w:ascii="Arial" w:hAnsi="Arial" w:cs="Arial"/>
          <w:sz w:val="20"/>
          <w:szCs w:val="20"/>
          <w:lang w:val="ro-RO"/>
        </w:rPr>
        <w:t xml:space="preserve">Pentru proiectele de stocare a CO2, este esențial să se discrimineze între efectele de presiune și saturație, așa cum sunt realizate de Grude et al. (2013), de exemplu, pentru a decide dacă o scurgere potențială se poate dezvolta aproape de o defecțiune majoră (figura </w:t>
      </w:r>
      <w:r w:rsidR="0098190E" w:rsidRPr="007F452C">
        <w:rPr>
          <w:rStyle w:val="tlid-translation"/>
          <w:rFonts w:ascii="Arial" w:hAnsi="Arial" w:cs="Arial"/>
          <w:sz w:val="20"/>
          <w:szCs w:val="20"/>
          <w:lang w:val="ro-RO"/>
        </w:rPr>
        <w:t>7</w:t>
      </w:r>
      <w:r w:rsidRPr="007F452C">
        <w:rPr>
          <w:rStyle w:val="tlid-translation"/>
          <w:rFonts w:ascii="Arial" w:hAnsi="Arial" w:cs="Arial"/>
          <w:sz w:val="20"/>
          <w:szCs w:val="20"/>
          <w:lang w:val="ro-RO"/>
        </w:rPr>
        <w:t>.).</w:t>
      </w:r>
    </w:p>
    <w:p w:rsidR="00875902" w:rsidRPr="007F452C" w:rsidRDefault="00875902" w:rsidP="00875902">
      <w:pPr>
        <w:spacing w:after="120" w:line="276" w:lineRule="auto"/>
        <w:rPr>
          <w:rFonts w:ascii="Arial" w:hAnsi="Arial" w:cs="Arial"/>
          <w:b/>
          <w:i/>
          <w:sz w:val="20"/>
          <w:szCs w:val="20"/>
        </w:rPr>
      </w:pPr>
      <w:r w:rsidRPr="007F452C">
        <w:rPr>
          <w:rStyle w:val="tlid-translation"/>
          <w:rFonts w:ascii="Arial" w:hAnsi="Arial" w:cs="Arial"/>
          <w:b/>
          <w:sz w:val="20"/>
          <w:szCs w:val="20"/>
          <w:lang w:val="ro-RO"/>
        </w:rPr>
        <w:t xml:space="preserve">Figura </w:t>
      </w:r>
      <w:r w:rsidR="0098190E" w:rsidRPr="007F452C">
        <w:rPr>
          <w:rStyle w:val="tlid-translation"/>
          <w:rFonts w:ascii="Arial" w:hAnsi="Arial" w:cs="Arial"/>
          <w:b/>
          <w:sz w:val="20"/>
          <w:szCs w:val="20"/>
          <w:lang w:val="ro-RO"/>
        </w:rPr>
        <w:t>7</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Amplitudinea RMS măsurată în Tubåen Fm. pe presiune inversată (stânga) și saturație (dreapta) cuburi 3D bazate pe cuburi de stivă apropiate și îndepărtate. Sonda de injecție CO2 este prezentată de cercul negru. Cercul roșu se concentrează pe o zonă cu presiune relativ ridicată (stânga), dar aceasta nu este însoțită de saturație semnificativă de CO2 (din Grude și colab., 2013). Direcția nordică este indicată de săgeata neagră.</w:t>
      </w:r>
      <w:r w:rsidRPr="007F452C">
        <w:rPr>
          <w:rFonts w:ascii="Arial" w:eastAsia="SimSun" w:hAnsi="Arial" w:cs="Arial"/>
          <w:i/>
          <w:noProof/>
          <w:sz w:val="20"/>
          <w:szCs w:val="20"/>
          <w:highlight w:val="lightGray"/>
          <w:lang w:val="en-US"/>
        </w:rPr>
        <w:drawing>
          <wp:anchor distT="0" distB="0" distL="114300" distR="114300" simplePos="0" relativeHeight="251657216" behindDoc="1" locked="0" layoutInCell="1" allowOverlap="1" wp14:anchorId="72D59CB5" wp14:editId="07E9BD93">
            <wp:simplePos x="0" y="0"/>
            <wp:positionH relativeFrom="margin">
              <wp:posOffset>5715</wp:posOffset>
            </wp:positionH>
            <wp:positionV relativeFrom="paragraph">
              <wp:posOffset>5080</wp:posOffset>
            </wp:positionV>
            <wp:extent cx="4420870" cy="2504440"/>
            <wp:effectExtent l="0" t="0" r="0" b="0"/>
            <wp:wrapThrough wrapText="bothSides">
              <wp:wrapPolygon edited="0">
                <wp:start x="0" y="0"/>
                <wp:lineTo x="0" y="21359"/>
                <wp:lineTo x="21501" y="21359"/>
                <wp:lineTo x="21501" y="0"/>
                <wp:lineTo x="0" y="0"/>
              </wp:wrapPolygon>
            </wp:wrapThrough>
            <wp:docPr id="6" name="Picture 46"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t="50864"/>
                    <a:stretch/>
                  </pic:blipFill>
                  <pic:spPr bwMode="auto">
                    <a:xfrm>
                      <a:off x="0" y="0"/>
                      <a:ext cx="4420870" cy="2504440"/>
                    </a:xfrm>
                    <a:prstGeom prst="rect">
                      <a:avLst/>
                    </a:prstGeom>
                    <a:noFill/>
                    <a:ln>
                      <a:noFill/>
                    </a:ln>
                    <a:extLst>
                      <a:ext uri="{53640926-AAD7-44D8-BBD7-CCE9431645EC}">
                        <a14:shadowObscured xmlns:a14="http://schemas.microsoft.com/office/drawing/2010/main"/>
                      </a:ext>
                    </a:extLst>
                  </pic:spPr>
                </pic:pic>
              </a:graphicData>
            </a:graphic>
          </wp:anchor>
        </w:drawing>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Rezultatele acestor analize permit investigarea distribuțiilor complexe de CO2 și a microfracturilor (de exemplu, Raportul PTRC Weyburn, 2011; Boait și colab., 2012).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Cu toate acestea, rezoluția imaginii seismice active este restricționată de grosimea stratului și de setarea geologică și, prin urmare, este esențială o suită de tehnologii de monitorizare.</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Sondajele seismice 4D sunt sondaje seismice repetate la un interval de timp dat pentru a oferi o imagine în timp a sub-suprafaței.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Aceste sondaje permit urmărirea unei plume de CO2 în timp (de exemplu, Chadwick și colab., 2015; Roach și White, 2018), iar interpolarea dintre sondaje permite o mai bună înțelegere a cremei de p</w:t>
      </w:r>
      <w:r w:rsidR="0097715D" w:rsidRPr="007F452C">
        <w:rPr>
          <w:rStyle w:val="tlid-translation"/>
          <w:rFonts w:ascii="Arial" w:hAnsi="Arial" w:cs="Arial"/>
          <w:sz w:val="20"/>
          <w:szCs w:val="20"/>
          <w:lang w:val="ro-RO"/>
        </w:rPr>
        <w:t>lume</w:t>
      </w:r>
      <w:r w:rsidRPr="007F452C">
        <w:rPr>
          <w:rStyle w:val="tlid-translation"/>
          <w:rFonts w:ascii="Arial" w:hAnsi="Arial" w:cs="Arial"/>
          <w:sz w:val="20"/>
          <w:szCs w:val="20"/>
          <w:lang w:val="ro-RO"/>
        </w:rPr>
        <w:t xml:space="preserve"> (Kiær et al., 2016; Figura </w:t>
      </w:r>
      <w:r w:rsidR="007A19B7" w:rsidRPr="007F452C">
        <w:rPr>
          <w:rStyle w:val="tlid-translation"/>
          <w:rFonts w:ascii="Arial" w:hAnsi="Arial" w:cs="Arial"/>
          <w:sz w:val="20"/>
          <w:szCs w:val="20"/>
          <w:lang w:val="ro-RO"/>
        </w:rPr>
        <w:t>7</w:t>
      </w:r>
      <w:r w:rsidRPr="007F452C">
        <w:rPr>
          <w:rStyle w:val="tlid-translation"/>
          <w:rFonts w:ascii="Arial" w:hAnsi="Arial" w:cs="Arial"/>
          <w:sz w:val="20"/>
          <w:szCs w:val="20"/>
          <w:lang w:val="ro-RO"/>
        </w:rPr>
        <w:t xml:space="preserve">). </w:t>
      </w:r>
    </w:p>
    <w:p w:rsidR="00875902" w:rsidRPr="007F452C" w:rsidRDefault="00875902" w:rsidP="00875902">
      <w:pPr>
        <w:spacing w:after="120" w:line="276" w:lineRule="auto"/>
        <w:rPr>
          <w:rFonts w:ascii="Arial" w:hAnsi="Arial" w:cs="Arial"/>
          <w:sz w:val="20"/>
          <w:szCs w:val="20"/>
        </w:rPr>
      </w:pPr>
      <w:r w:rsidRPr="007F452C">
        <w:rPr>
          <w:rStyle w:val="tlid-translation"/>
          <w:rFonts w:ascii="Arial" w:hAnsi="Arial" w:cs="Arial"/>
          <w:sz w:val="20"/>
          <w:szCs w:val="20"/>
          <w:lang w:val="ro-RO"/>
        </w:rPr>
        <w:t>Repetabilitatea acestor sondaje este acum ridicată, cu streamere sterile și desfășurarea permanentă a cablurilor (PRM) pe litoral, de exemplu de BP în câmpul Valhall în 2003, și este o tehnică matură care este folosită pe majoritatea câmpurilor off-shore din Norvegia. , Brazilia, Africa de Vest și Golful Mexic (Landrø, 2015).</w:t>
      </w:r>
    </w:p>
    <w:p w:rsidR="00875902" w:rsidRPr="007F452C" w:rsidRDefault="00875902" w:rsidP="00875902">
      <w:pPr>
        <w:spacing w:after="120" w:line="276" w:lineRule="auto"/>
        <w:rPr>
          <w:rFonts w:ascii="Arial" w:hAnsi="Arial" w:cs="Arial"/>
          <w:b/>
          <w:i/>
          <w:sz w:val="20"/>
          <w:szCs w:val="20"/>
        </w:rPr>
      </w:pPr>
      <w:r w:rsidRPr="007F452C">
        <w:rPr>
          <w:rStyle w:val="tlid-translation"/>
          <w:rFonts w:ascii="Arial" w:hAnsi="Arial" w:cs="Arial"/>
          <w:b/>
          <w:sz w:val="20"/>
          <w:szCs w:val="20"/>
          <w:lang w:val="ro-RO"/>
        </w:rPr>
        <w:lastRenderedPageBreak/>
        <w:t xml:space="preserve">Figura </w:t>
      </w:r>
      <w:r w:rsidR="007A19B7" w:rsidRPr="007F452C">
        <w:rPr>
          <w:rStyle w:val="tlid-translation"/>
          <w:rFonts w:ascii="Arial" w:hAnsi="Arial" w:cs="Arial"/>
          <w:b/>
          <w:sz w:val="20"/>
          <w:szCs w:val="20"/>
          <w:lang w:val="ro-RO"/>
        </w:rPr>
        <w:t>8</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Interpolarea hărților interpretate</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(culori transparente) ale plumei CO2 de Sleipner între 3 sondajeconvenționale (rezistență completă a culorilor) realizate în 2004, 2006 și 2008 (Kiær et al. 2016). Culorile roșu / portocaliu indică concentrații mai mari de CO2.</w:t>
      </w:r>
      <w:r w:rsidRPr="007F452C">
        <w:rPr>
          <w:rFonts w:ascii="Arial" w:hAnsi="Arial" w:cs="Arial"/>
          <w:i/>
          <w:noProof/>
          <w:sz w:val="20"/>
          <w:szCs w:val="20"/>
          <w:lang w:val="en-US"/>
        </w:rPr>
        <w:drawing>
          <wp:anchor distT="0" distB="0" distL="114300" distR="114300" simplePos="0" relativeHeight="251655168" behindDoc="0" locked="0" layoutInCell="1" allowOverlap="1" wp14:anchorId="2D1A6095" wp14:editId="67F80619">
            <wp:simplePos x="0" y="0"/>
            <wp:positionH relativeFrom="margin">
              <wp:align>left</wp:align>
            </wp:positionH>
            <wp:positionV relativeFrom="paragraph">
              <wp:posOffset>11430</wp:posOffset>
            </wp:positionV>
            <wp:extent cx="4190365" cy="1997710"/>
            <wp:effectExtent l="19050" t="19050" r="19685" b="21590"/>
            <wp:wrapThrough wrapText="bothSides">
              <wp:wrapPolygon edited="0">
                <wp:start x="-98" y="-206"/>
                <wp:lineTo x="-98" y="21627"/>
                <wp:lineTo x="21603" y="21627"/>
                <wp:lineTo x="21603" y="-206"/>
                <wp:lineTo x="-98" y="-206"/>
              </wp:wrapPolygon>
            </wp:wrapThrough>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90365" cy="1997710"/>
                    </a:xfrm>
                    <a:prstGeom prst="rect">
                      <a:avLst/>
                    </a:prstGeom>
                    <a:noFill/>
                    <a:ln>
                      <a:solidFill>
                        <a:schemeClr val="bg2">
                          <a:lumMod val="50000"/>
                        </a:schemeClr>
                      </a:solidFill>
                    </a:ln>
                  </pic:spPr>
                </pic:pic>
              </a:graphicData>
            </a:graphic>
          </wp:anchor>
        </w:drawing>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Chiar și în cadrul acestei tehnologii mature, se realizează progrese științifice. Recent, au fost disponibile măsurători ale gradienților spațiali atât ai traducerii, cât și ai presiunii (de exemplu, Robertsson și colab., 2008; Schmelzbach și colab., 2016), pe lângă măsurile de rutină cu trei componente (3C) de translație și presiunea de 1C a coloanei de apă.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Gradienții spațiali de undă seismici pot fi măsurați direct cu instrumente dedicate (senzori cu gradient de presiune, senzori de rotație) sau pot fi obținuți prin aproximarea cu diferență finită de la senzorii convenționali distanțați.</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Aceste noi observabile ar putea schimba modul în care se obțin date seismice atât pe uscat, cât și în larg.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Un beneficiu particular al măsurătorilor de gradient spațial este că atunci când sunt combinate cu măsurători clasice, acestea permit o relaxare a cerințelor de eșantionare spațială și permit algoritmi puternici de interpolare pentru setări de achiziție reduse.</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Analiza de refracție seismică în timp-lapse este o altă tehnică activă pentru a imagina sub-suprafața (de exemplu, Zadeh și Landrø, 2011; Figura </w:t>
      </w:r>
      <w:r w:rsidR="007A19B7" w:rsidRPr="007F452C">
        <w:rPr>
          <w:rStyle w:val="tlid-translation"/>
          <w:rFonts w:ascii="Arial" w:hAnsi="Arial" w:cs="Arial"/>
          <w:sz w:val="20"/>
          <w:szCs w:val="20"/>
          <w:lang w:val="ro-RO"/>
        </w:rPr>
        <w:t>9</w:t>
      </w:r>
      <w:r w:rsidRPr="007F452C">
        <w:rPr>
          <w:rStyle w:val="tlid-translation"/>
          <w:rFonts w:ascii="Arial" w:hAnsi="Arial" w:cs="Arial"/>
          <w:sz w:val="20"/>
          <w:szCs w:val="20"/>
          <w:lang w:val="ro-RO"/>
        </w:rPr>
        <w:t xml:space="preserv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prezent, sondajele sunt efectuate folosind senzori convenționali (geofoni sau noduri din fundul oceanului) pentru a monitoriza depunerile de lichid / gaz superficiale, care este similară situației care ar putea </w:t>
      </w:r>
      <w:r w:rsidR="0097715D" w:rsidRPr="007F452C">
        <w:rPr>
          <w:rStyle w:val="tlid-translation"/>
          <w:rFonts w:ascii="Arial" w:hAnsi="Arial" w:cs="Arial"/>
          <w:sz w:val="20"/>
          <w:szCs w:val="20"/>
          <w:lang w:val="ro-RO"/>
        </w:rPr>
        <w:t xml:space="preserve">apărea în cazul în care CO2 ar </w:t>
      </w:r>
      <w:r w:rsidRPr="007F452C">
        <w:rPr>
          <w:rStyle w:val="tlid-translation"/>
          <w:rFonts w:ascii="Arial" w:hAnsi="Arial" w:cs="Arial"/>
          <w:sz w:val="20"/>
          <w:szCs w:val="20"/>
          <w:lang w:val="ro-RO"/>
        </w:rPr>
        <w:t xml:space="preserve">curge de pe un loc de depozitare.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Cu toate acestea, tehnica exploatează câmpuri de unde incidente cu un unghi înalt care ar fi înregistrate de DAS Fiber și această posibilitate va fi explorată ca parte a proiectului DigiMon.</w:t>
      </w: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r w:rsidRPr="007F452C">
        <w:rPr>
          <w:rFonts w:ascii="Arial" w:hAnsi="Arial" w:cs="Arial"/>
          <w:noProof/>
          <w:sz w:val="20"/>
          <w:szCs w:val="20"/>
          <w:lang w:val="en-US"/>
        </w:rPr>
        <w:drawing>
          <wp:anchor distT="0" distB="0" distL="114300" distR="114300" simplePos="0" relativeHeight="251659264" behindDoc="0" locked="0" layoutInCell="1" allowOverlap="1" wp14:anchorId="310EE259" wp14:editId="230E2E13">
            <wp:simplePos x="0" y="0"/>
            <wp:positionH relativeFrom="margin">
              <wp:align>left</wp:align>
            </wp:positionH>
            <wp:positionV relativeFrom="paragraph">
              <wp:posOffset>-362585</wp:posOffset>
            </wp:positionV>
            <wp:extent cx="5318125" cy="3451225"/>
            <wp:effectExtent l="19050" t="19050" r="15875" b="15875"/>
            <wp:wrapThrough wrapText="bothSides">
              <wp:wrapPolygon edited="0">
                <wp:start x="-77" y="-119"/>
                <wp:lineTo x="-77" y="21699"/>
                <wp:lineTo x="21664" y="21699"/>
                <wp:lineTo x="21664" y="-119"/>
                <wp:lineTo x="-77" y="-119"/>
              </wp:wrapPolygon>
            </wp:wrapThrough>
            <wp:docPr id="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8125" cy="3451225"/>
                    </a:xfrm>
                    <a:prstGeom prst="rect">
                      <a:avLst/>
                    </a:prstGeom>
                    <a:noFill/>
                    <a:ln>
                      <a:solidFill>
                        <a:schemeClr val="bg2">
                          <a:lumMod val="50000"/>
                        </a:schemeClr>
                      </a:solidFill>
                    </a:ln>
                  </pic:spPr>
                </pic:pic>
              </a:graphicData>
            </a:graphic>
          </wp:anchor>
        </w:drawing>
      </w: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75902">
      <w:pPr>
        <w:spacing w:after="120" w:line="276" w:lineRule="auto"/>
        <w:rPr>
          <w:rStyle w:val="tlid-translation"/>
          <w:rFonts w:ascii="Arial" w:hAnsi="Arial" w:cs="Arial"/>
          <w:sz w:val="20"/>
          <w:szCs w:val="20"/>
          <w:lang w:val="ro-RO"/>
        </w:rPr>
      </w:pPr>
    </w:p>
    <w:p w:rsidR="00827720" w:rsidRPr="007F452C" w:rsidRDefault="00827720" w:rsidP="00827720">
      <w:pPr>
        <w:spacing w:after="120" w:line="276" w:lineRule="auto"/>
        <w:rPr>
          <w:rStyle w:val="tlid-translation"/>
          <w:rFonts w:ascii="Arial" w:hAnsi="Arial" w:cs="Arial"/>
          <w:sz w:val="20"/>
          <w:szCs w:val="20"/>
          <w:lang w:val="ro-RO"/>
        </w:rPr>
      </w:pPr>
      <w:r w:rsidRPr="007F452C">
        <w:rPr>
          <w:rStyle w:val="tlid-translation"/>
          <w:rFonts w:ascii="Arial" w:hAnsi="Arial" w:cs="Arial"/>
          <w:b/>
          <w:sz w:val="20"/>
          <w:szCs w:val="20"/>
          <w:lang w:val="ro-RO"/>
        </w:rPr>
        <w:lastRenderedPageBreak/>
        <w:t xml:space="preserve">Figura </w:t>
      </w:r>
      <w:r w:rsidR="007A19B7" w:rsidRPr="007F452C">
        <w:rPr>
          <w:rStyle w:val="tlid-translation"/>
          <w:rFonts w:ascii="Arial" w:hAnsi="Arial" w:cs="Arial"/>
          <w:b/>
          <w:sz w:val="20"/>
          <w:szCs w:val="20"/>
          <w:lang w:val="ro-RO"/>
        </w:rPr>
        <w:t>9</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Rezultatele sondajului de refracție ale monitorizării unei acumulări de gaz foarte puțin adânci într-un strat de nisip subțire pe o perioadă de 20 de ani.</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 xml:space="preserve">Timpul relativ de sosire a valurilor de la orizont este marcat cu albastru pe secțiunea seismică din partea de jos a imaginii.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Măsurătorile se fac între 1988 și 1990 (linia roșie), 1988 și 2009 (linia albastră) și 1990 și 2009 (linia neagră). Schimbările de timp pozitive (până la 3 ms) estimate între 1988 și 1990 indică faptul că valea tunelului (prezentată prin linia albastră în secțiunea seismică) a fost încărcată cu gaz în această perioadă din cauza unei explozii subterane. </w:t>
      </w:r>
    </w:p>
    <w:p w:rsidR="002822C0" w:rsidRPr="007F452C" w:rsidRDefault="00875902" w:rsidP="00875902">
      <w:pPr>
        <w:spacing w:after="120" w:line="276" w:lineRule="auto"/>
        <w:rPr>
          <w:rFonts w:ascii="Arial" w:hAnsi="Arial" w:cs="Arial"/>
          <w:b/>
          <w:i/>
          <w:sz w:val="20"/>
          <w:szCs w:val="20"/>
        </w:rPr>
      </w:pPr>
      <w:r w:rsidRPr="007F452C">
        <w:rPr>
          <w:rStyle w:val="tlid-translation"/>
          <w:rFonts w:ascii="Arial" w:hAnsi="Arial" w:cs="Arial"/>
          <w:sz w:val="20"/>
          <w:szCs w:val="20"/>
          <w:lang w:val="ro-RO"/>
        </w:rPr>
        <w:t>Ulterior, acest gaz a migrat probabil, deoarece intervalul de timp între 1990 și 2009 este negativ, iar rezultatul final este aproape de zero (linia albastră) (Landrø și colab., Nepublicate).</w:t>
      </w:r>
    </w:p>
    <w:p w:rsidR="002822C0" w:rsidRPr="007F452C" w:rsidRDefault="002822C0" w:rsidP="00580186">
      <w:pPr>
        <w:pStyle w:val="Heading3"/>
        <w:rPr>
          <w:rFonts w:ascii="Arial" w:hAnsi="Arial" w:cs="Arial"/>
          <w:sz w:val="20"/>
        </w:rPr>
      </w:pPr>
      <w:bookmarkStart w:id="25" w:name="_Toc26091230"/>
      <w:r w:rsidRPr="007F452C">
        <w:rPr>
          <w:rFonts w:ascii="Arial" w:hAnsi="Arial" w:cs="Arial"/>
          <w:sz w:val="20"/>
        </w:rPr>
        <w:t>Monitorizarea temperaturii, a tensiunii și a presiunii</w:t>
      </w:r>
      <w:bookmarkEnd w:id="25"/>
    </w:p>
    <w:p w:rsidR="002822C0" w:rsidRPr="007F452C" w:rsidRDefault="002822C0" w:rsidP="002822C0">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Semnalele de tensiune, temperatură și presiune pot fi, de asemenea, măsurate folosind fibre optice (DSS, DTS și, respectiv, DPS) și sunt tehnologii mature în comparație cu DAS. Acestea se bazează pe lansarea unui semnal optic într-o fibră și după aceea măsurând lumina retrasă, împrăștiată prin modificări de tensiune, presiune sau temperatură în fibră. </w:t>
      </w:r>
    </w:p>
    <w:p w:rsidR="002822C0" w:rsidRPr="007F452C" w:rsidRDefault="002822C0" w:rsidP="002822C0">
      <w:pPr>
        <w:spacing w:after="120" w:line="276" w:lineRule="auto"/>
        <w:rPr>
          <w:rFonts w:ascii="Arial" w:hAnsi="Arial" w:cs="Arial"/>
          <w:sz w:val="20"/>
          <w:szCs w:val="20"/>
          <w:lang w:val="ro-RO"/>
        </w:rPr>
      </w:pPr>
      <w:r w:rsidRPr="007F452C">
        <w:rPr>
          <w:rFonts w:ascii="Arial" w:hAnsi="Arial" w:cs="Arial"/>
          <w:sz w:val="20"/>
          <w:szCs w:val="20"/>
          <w:lang w:val="ro-RO"/>
        </w:rPr>
        <w:t xml:space="preserve">Aceste mecanisme de împrăștiere sunt prezente în mod natural în Fibrele optice și o imagine de ansamblu asupra mecanismelor de împrăștiere relevante este prezentată în Figura </w:t>
      </w:r>
      <w:r w:rsidR="007A19B7" w:rsidRPr="007F452C">
        <w:rPr>
          <w:rFonts w:ascii="Arial" w:hAnsi="Arial" w:cs="Arial"/>
          <w:sz w:val="20"/>
          <w:szCs w:val="20"/>
          <w:lang w:val="ro-RO"/>
        </w:rPr>
        <w:t>10</w:t>
      </w:r>
      <w:r w:rsidRPr="007F452C">
        <w:rPr>
          <w:rFonts w:ascii="Arial" w:hAnsi="Arial" w:cs="Arial"/>
          <w:sz w:val="20"/>
          <w:szCs w:val="20"/>
          <w:lang w:val="ro-RO"/>
        </w:rPr>
        <w:t>.</w:t>
      </w:r>
    </w:p>
    <w:p w:rsidR="002822C0" w:rsidRPr="007F452C" w:rsidRDefault="002822C0" w:rsidP="002822C0">
      <w:pPr>
        <w:spacing w:after="120" w:line="276" w:lineRule="auto"/>
        <w:rPr>
          <w:rFonts w:ascii="Arial" w:hAnsi="Arial" w:cs="Arial"/>
          <w:b/>
          <w:i/>
          <w:sz w:val="20"/>
          <w:szCs w:val="20"/>
          <w:lang w:val="en-US"/>
        </w:rPr>
      </w:pPr>
      <w:r w:rsidRPr="007F452C">
        <w:rPr>
          <w:rStyle w:val="tlid-translation"/>
          <w:rFonts w:ascii="Arial" w:hAnsi="Arial" w:cs="Arial"/>
          <w:b/>
          <w:sz w:val="20"/>
          <w:szCs w:val="20"/>
          <w:lang w:val="ro-RO"/>
        </w:rPr>
        <w:t xml:space="preserve">Figura </w:t>
      </w:r>
      <w:r w:rsidR="007A19B7" w:rsidRPr="007F452C">
        <w:rPr>
          <w:rStyle w:val="tlid-translation"/>
          <w:rFonts w:ascii="Arial" w:hAnsi="Arial" w:cs="Arial"/>
          <w:b/>
          <w:sz w:val="20"/>
          <w:szCs w:val="20"/>
          <w:lang w:val="ro-RO"/>
        </w:rPr>
        <w:t>10</w:t>
      </w:r>
      <w:r w:rsidRPr="007F452C">
        <w:rPr>
          <w:rStyle w:val="tlid-translation"/>
          <w:rFonts w:ascii="Arial" w:hAnsi="Arial" w:cs="Arial"/>
          <w:b/>
          <w:sz w:val="20"/>
          <w:szCs w:val="20"/>
          <w:lang w:val="ro-RO"/>
        </w:rPr>
        <w:t>.</w:t>
      </w:r>
      <w:r w:rsidRPr="007F452C">
        <w:rPr>
          <w:rStyle w:val="tlid-translation"/>
          <w:rFonts w:ascii="Arial" w:hAnsi="Arial" w:cs="Arial"/>
          <w:sz w:val="20"/>
          <w:szCs w:val="20"/>
          <w:lang w:val="ro-RO"/>
        </w:rPr>
        <w:t>: Prezentare generală a diferitelor tipuri de lumină retrasă dintr-o fibră optică și principalii parametri fizici care pot fi măsurați: backscattering-ul Brillouin este modulat atât de temperatură cât și de profilul de tulpină din fibra optică (Distribuție de temperatură și tensiune distribuită, DTSS). Împrastierea Raman (Stokes și anti-Stokes) este modulată de profilul de temperatură al fibrei optice, (DTS). Combinarea măsurătorilor de lumină retrasă Raman și Brillouin va oferi informații atât asupra tulpinii, cât și a profilului de temperatură al fibrei optice (DTS și DSS). Retractarea Rayleigh este modulată prin incidența semnalelor acustice de-a lungul fibrei optice și este exploatată în DAS.</w:t>
      </w:r>
      <w:r w:rsidRPr="007F452C">
        <w:rPr>
          <w:rFonts w:ascii="Arial" w:hAnsi="Arial" w:cs="Arial"/>
          <w:i/>
          <w:noProof/>
          <w:sz w:val="20"/>
          <w:szCs w:val="20"/>
          <w:lang w:val="en-US"/>
        </w:rPr>
        <w:drawing>
          <wp:anchor distT="0" distB="0" distL="114300" distR="114300" simplePos="0" relativeHeight="251669504" behindDoc="0" locked="0" layoutInCell="1" allowOverlap="1" wp14:anchorId="720A5C27" wp14:editId="127E286D">
            <wp:simplePos x="0" y="0"/>
            <wp:positionH relativeFrom="margin">
              <wp:posOffset>19050</wp:posOffset>
            </wp:positionH>
            <wp:positionV relativeFrom="paragraph">
              <wp:posOffset>73660</wp:posOffset>
            </wp:positionV>
            <wp:extent cx="2821940" cy="2341245"/>
            <wp:effectExtent l="19050" t="19050" r="16510" b="20955"/>
            <wp:wrapThrough wrapText="bothSides">
              <wp:wrapPolygon edited="0">
                <wp:start x="-146" y="-176"/>
                <wp:lineTo x="-146" y="21793"/>
                <wp:lineTo x="21726" y="21793"/>
                <wp:lineTo x="21726" y="-176"/>
                <wp:lineTo x="-146" y="-176"/>
              </wp:wrapPolygon>
            </wp:wrapThrough>
            <wp:docPr id="2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sm_DAS_Rayleigh_ea21dab9d8.jpg"/>
                    <pic:cNvPicPr/>
                  </pic:nvPicPr>
                  <pic:blipFill rotWithShape="1">
                    <a:blip r:embed="rId25" cstate="print">
                      <a:extLst>
                        <a:ext uri="{28A0092B-C50C-407E-A947-70E740481C1C}">
                          <a14:useLocalDpi xmlns:a14="http://schemas.microsoft.com/office/drawing/2010/main" val="0"/>
                        </a:ext>
                      </a:extLst>
                    </a:blip>
                    <a:srcRect b="5475"/>
                    <a:stretch/>
                  </pic:blipFill>
                  <pic:spPr bwMode="auto">
                    <a:xfrm>
                      <a:off x="0" y="0"/>
                      <a:ext cx="2821940" cy="234124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anchor>
        </w:drawing>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Sistemele DTS disponibile în comerț specifică de obicei o rezoluție de temperatură de aproximativ 0,01-0,1 ° C și o precizie de aproximativ 0,1-1 ° C. Rezoluția posibilă a temperaturii se degradează, în general, cu distanța crescândă și timpul mediu mai scurt, astfel necesitând un timp de integrare de aproximativ 10 secunde înainte de a obține un profil de temperatură complet pe o fibră de aproximativ 10 km lungime. Rezoluția spațială în sistemele comerciale este &lt;1 metru.</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Instalațiile de măsurare a temperaturii și presiunii în puț sunt încă dominate de manometrele electronice convenționale (cuarț). Fibra optică are o serie de provocări care nu sunt încă rezolvate complet. Avantajul Fibrei optice și DTS este că oferă o măsurare continuă de-a lungul Fibrei și nu numai măsurători punctuale, așa cum se întâmplă în cazul măsurătorilor electronice. </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Cu toate acestea, Fibra optică are încă limitări în medii cu temperaturi ridicate (peste 150 ° C) și este mai costisitoare cu conectori </w:t>
      </w:r>
      <w:r w:rsidR="00AF5097" w:rsidRPr="007F452C">
        <w:rPr>
          <w:rStyle w:val="tlid-translation"/>
          <w:rFonts w:ascii="Arial" w:hAnsi="Arial" w:cs="Arial"/>
          <w:sz w:val="20"/>
          <w:szCs w:val="20"/>
          <w:lang w:val="ro-RO"/>
        </w:rPr>
        <w:t>și pătrunz</w:t>
      </w:r>
      <w:r w:rsidRPr="007F452C">
        <w:rPr>
          <w:rStyle w:val="tlid-translation"/>
          <w:rFonts w:ascii="Arial" w:hAnsi="Arial" w:cs="Arial"/>
          <w:sz w:val="20"/>
          <w:szCs w:val="20"/>
          <w:lang w:val="ro-RO"/>
        </w:rPr>
        <w:t>ători comple</w:t>
      </w:r>
      <w:r w:rsidR="00AF5097" w:rsidRPr="007F452C">
        <w:rPr>
          <w:rStyle w:val="tlid-translation"/>
          <w:rFonts w:ascii="Arial" w:hAnsi="Arial" w:cs="Arial"/>
          <w:sz w:val="20"/>
          <w:szCs w:val="20"/>
          <w:lang w:val="ro-RO"/>
        </w:rPr>
        <w:t>x</w:t>
      </w:r>
      <w:r w:rsidR="00581E33" w:rsidRPr="007F452C">
        <w:rPr>
          <w:rStyle w:val="tlid-translation"/>
          <w:rFonts w:ascii="Arial" w:hAnsi="Arial" w:cs="Arial"/>
          <w:sz w:val="20"/>
          <w:szCs w:val="20"/>
          <w:lang w:val="ro-RO"/>
        </w:rPr>
        <w:t>i si</w:t>
      </w:r>
      <w:r w:rsidRPr="007F452C">
        <w:rPr>
          <w:rStyle w:val="tlid-translation"/>
          <w:rFonts w:ascii="Arial" w:hAnsi="Arial" w:cs="Arial"/>
          <w:sz w:val="20"/>
          <w:szCs w:val="20"/>
          <w:lang w:val="ro-RO"/>
        </w:rPr>
        <w:t xml:space="preserve"> cu umiditate comple</w:t>
      </w:r>
      <w:r w:rsidR="00581E33" w:rsidRPr="007F452C">
        <w:rPr>
          <w:rStyle w:val="tlid-translation"/>
          <w:rFonts w:ascii="Arial" w:hAnsi="Arial" w:cs="Arial"/>
          <w:sz w:val="20"/>
          <w:szCs w:val="20"/>
          <w:lang w:val="ro-RO"/>
        </w:rPr>
        <w:t>xă.</w:t>
      </w:r>
    </w:p>
    <w:p w:rsidR="002822C0" w:rsidRPr="007F452C" w:rsidRDefault="002822C0" w:rsidP="002822C0">
      <w:pPr>
        <w:spacing w:after="120" w:line="276" w:lineRule="auto"/>
        <w:rPr>
          <w:rFonts w:ascii="Arial" w:hAnsi="Arial" w:cs="Arial"/>
          <w:b/>
          <w:i/>
          <w:sz w:val="20"/>
          <w:szCs w:val="20"/>
          <w:lang w:val="en-US"/>
        </w:rPr>
      </w:pPr>
      <w:r w:rsidRPr="007F452C">
        <w:rPr>
          <w:rStyle w:val="tlid-translation"/>
          <w:rFonts w:ascii="Arial" w:hAnsi="Arial" w:cs="Arial"/>
          <w:sz w:val="20"/>
          <w:szCs w:val="20"/>
          <w:lang w:val="ro-RO"/>
        </w:rPr>
        <w:t>Senzorii electronici sunt, de asemenea, mai ușor de integrat cu alte instrumente și sisteme de control, de exemplu, pompe și valve, simplificând astfel structura cablului și a conectorului.</w:t>
      </w:r>
    </w:p>
    <w:p w:rsidR="002822C0" w:rsidRPr="007F452C" w:rsidRDefault="002822C0" w:rsidP="00580186">
      <w:pPr>
        <w:pStyle w:val="Heading3"/>
        <w:rPr>
          <w:rStyle w:val="tlid-translation"/>
          <w:rFonts w:ascii="Arial" w:hAnsi="Arial" w:cs="Arial"/>
          <w:sz w:val="20"/>
        </w:rPr>
      </w:pPr>
      <w:bookmarkStart w:id="26" w:name="_Toc26091231"/>
      <w:r w:rsidRPr="007F452C">
        <w:rPr>
          <w:rStyle w:val="tlid-translation"/>
          <w:rFonts w:ascii="Arial" w:hAnsi="Arial" w:cs="Arial"/>
          <w:b w:val="0"/>
          <w:sz w:val="20"/>
          <w:lang w:val="ro-RO"/>
        </w:rPr>
        <w:lastRenderedPageBreak/>
        <w:t>Monitorizarea gravitației și a deformării fundului marin</w:t>
      </w:r>
      <w:bookmarkEnd w:id="26"/>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Studiile combinate de 4D cu gravitație și deformare la nivelul mării sunt o tehnologie de monitorizare geofizică matură pentru rezervoarele de hidrocarburi din larg (Lien și colab., 2017). Tehnologia, dezvoltată intern în Equinor, a fost utilizată cu succes în șapte câmpuri de pe raftul continental norvegian, inclusiv câmpurile Sleipner și Snøhvit, care au atât producție de hidrocarburi, cât și injecție de CO2.</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La fiecare câmp, presiunea apei și gravitația relativă sunt măsurate deasupra unui set de platforme de beton semipermanente la malul mării. Numărul de platforme este de obicei între 20 și 120, în funcție de dimensiunea câmpului și de rezoluția laterală necesară. O navă de sondaj este poziționată secvențial deasupra platformelor de beton și un vehicul operat de la distanță implementează instrumentația pentru a efectua măsurători de 20 de minute pe fiecare dintre ele. </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Platformele sunt situate atât deasupra cât și din jurul câmpului, cele ulterioare fiind utilizate ca referință în timp și pentru calibrarea in situ a instrumentelor. Durata unui sondaj variază de la una la cinci săptămâni, în funcție de mărimea câmpului.</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Sondajele sunt organizate în bucle care încep și se termină la câteva așa-numite stații de bază, care sunt utilizate pentru a reduce incertitudinile din derivele instrumentale. Într-un subset de stații, calibrele de maree sunt desfășurate pe parcursul întregului sondaj și oferă un mijloc pentru corectarea măsurărilor de presiune și gravitație brute pentru maree și alte efecte oceanografice. </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Datele corectate sunt transformate într-o măsurătoare a adâncimii și a gravitației relative a stației în regiunea sondajului, iar scăderea dintre anii de date produce o măsurare a semnalului de gravitație 4D și a deformării verticale a mării.</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ziua de azi, măsurătorile 4D ale gravitației și deformării la nivelul mării sunt adunate în sondaje comune prin utilizarea unor gravimetri și senzori de presiune relative. </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Cu toate acestea, rezultatele deformării pe fundul mării sunt obținute în întregime din măsurători de presiune și, prin urmare, pot fi obținute ca un serviciu independent prin sondaj cu instrumente mult mai compacte.</w:t>
      </w:r>
    </w:p>
    <w:p w:rsidR="002822C0" w:rsidRPr="007F452C" w:rsidRDefault="002822C0" w:rsidP="002822C0">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Informații valoroase, cum ar fi fracția de CO2 care se dizolvă în saramură, sunt dincolo de raza de acțiune seismică. Studiile 3D seismice achiziționate la Sleipner au permis să determine cu precizie extinderea penajului CO2. </w:t>
      </w:r>
    </w:p>
    <w:p w:rsidR="002822C0" w:rsidRPr="007F452C" w:rsidRDefault="002822C0" w:rsidP="002822C0">
      <w:pPr>
        <w:pStyle w:val="ListParagraph"/>
        <w:spacing w:after="120"/>
        <w:ind w:left="0"/>
        <w:jc w:val="both"/>
        <w:rPr>
          <w:rStyle w:val="tlid-translation"/>
          <w:rFonts w:ascii="Arial" w:hAnsi="Arial" w:cs="Arial"/>
          <w:sz w:val="20"/>
          <w:szCs w:val="20"/>
        </w:rPr>
      </w:pPr>
      <w:r w:rsidRPr="007F452C">
        <w:rPr>
          <w:rStyle w:val="tlid-translation"/>
          <w:rFonts w:ascii="Arial" w:hAnsi="Arial" w:cs="Arial"/>
          <w:sz w:val="20"/>
          <w:szCs w:val="20"/>
          <w:lang w:val="ro-RO"/>
        </w:rPr>
        <w:t>Cu toate acestea, estimările echilibrului de masă sunt greu de obținut din atributele seismice (Chadwick și colab., 2005). Datele de gravitație în timp, odată integrate cu informații volumetrice din măsurările seismice și de temperatură la sondă și rezervor, pot fi utilizate pentru a stabili limite superioare pentru fracția dizolvată (Alnes și colab. 2011, Hauge și Kolbjørnsen, 2015). Integrarea suplimentară cu alte tipuri de date poate spori și mai mult valoarea datelor gravitaționale (Lien și colab., 2014, Tveit și colab., 2018).</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timp ce rezoluția laterală a gravitației în timp-lapse este mai slabă decât cea a seismului în timp-lapse, faptul că gravitația este direct sensibi</w:t>
      </w:r>
      <w:r w:rsidR="00581E33" w:rsidRPr="007F452C">
        <w:rPr>
          <w:rStyle w:val="tlid-translation"/>
          <w:rFonts w:ascii="Arial" w:hAnsi="Arial" w:cs="Arial"/>
          <w:sz w:val="20"/>
          <w:szCs w:val="20"/>
          <w:lang w:val="ro-RO"/>
        </w:rPr>
        <w:t>la</w:t>
      </w:r>
      <w:r w:rsidRPr="007F452C">
        <w:rPr>
          <w:rStyle w:val="tlid-translation"/>
          <w:rFonts w:ascii="Arial" w:hAnsi="Arial" w:cs="Arial"/>
          <w:sz w:val="20"/>
          <w:szCs w:val="20"/>
          <w:lang w:val="ro-RO"/>
        </w:rPr>
        <w:t xml:space="preserve"> la schimbările de masă</w:t>
      </w:r>
      <w:r w:rsidR="00581E33"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 xml:space="preserve"> face ca cele două tehnologii să fie complementare. Faptul că costul sondajelor gravitaționale este, de obicei, 10% din cel al sondajelor seismice (și o deformare examinează doar o fracțiune din nou o fracțiune din aceasta), permite o altă formă complementară: strategii de monitorizare care combină studiile gravitaționale frecvente și sondajele seismice mai puțin frecvente. Aceasta este strategia urmată în unele rezervoare producătoare de hidrocarburi (Vatshelle și colab., 2017).</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câmpurile de petrol și gaze, monitorizarea deformării suprafeței a permis: identificarea compartimentelor care nu sunt epuizate și oportunitățile de u</w:t>
      </w:r>
      <w:r w:rsidR="00581E33" w:rsidRPr="007F452C">
        <w:rPr>
          <w:rStyle w:val="tlid-translation"/>
          <w:rFonts w:ascii="Arial" w:hAnsi="Arial" w:cs="Arial"/>
          <w:sz w:val="20"/>
          <w:szCs w:val="20"/>
          <w:lang w:val="ro-RO"/>
        </w:rPr>
        <w:t>mplere a puțului (Ueland, 2015).</w:t>
      </w:r>
      <w:r w:rsidR="007A19B7" w:rsidRPr="007F452C">
        <w:rPr>
          <w:rStyle w:val="tlid-translation"/>
          <w:rFonts w:ascii="Arial" w:hAnsi="Arial" w:cs="Arial"/>
          <w:sz w:val="20"/>
          <w:szCs w:val="20"/>
          <w:lang w:val="ro-RO"/>
        </w:rPr>
        <w:t xml:space="preserve"> </w:t>
      </w:r>
      <w:r w:rsidR="00581E33" w:rsidRPr="007F452C">
        <w:rPr>
          <w:rStyle w:val="tlid-translation"/>
          <w:rFonts w:ascii="Arial" w:hAnsi="Arial" w:cs="Arial"/>
          <w:sz w:val="20"/>
          <w:szCs w:val="20"/>
          <w:lang w:val="ro-RO"/>
        </w:rPr>
        <w:t xml:space="preserve">Datele culese permit sa </w:t>
      </w:r>
      <w:r w:rsidRPr="007F452C">
        <w:rPr>
          <w:rStyle w:val="tlid-translation"/>
          <w:rFonts w:ascii="Arial" w:hAnsi="Arial" w:cs="Arial"/>
          <w:sz w:val="20"/>
          <w:szCs w:val="20"/>
          <w:lang w:val="ro-RO"/>
        </w:rPr>
        <w:t>calibrați modelul geomecanic</w:t>
      </w:r>
      <w:r w:rsidR="00581E33" w:rsidRPr="007F452C">
        <w:rPr>
          <w:rStyle w:val="tlid-translation"/>
          <w:rFonts w:ascii="Arial" w:hAnsi="Arial" w:cs="Arial"/>
          <w:sz w:val="20"/>
          <w:szCs w:val="20"/>
          <w:lang w:val="ro-RO"/>
        </w:rPr>
        <w:t>, sa</w:t>
      </w:r>
      <w:r w:rsidRPr="007F452C">
        <w:rPr>
          <w:rStyle w:val="tlid-translation"/>
          <w:rFonts w:ascii="Arial" w:hAnsi="Arial" w:cs="Arial"/>
          <w:sz w:val="20"/>
          <w:szCs w:val="20"/>
          <w:lang w:val="ro-RO"/>
        </w:rPr>
        <w:t xml:space="preserve"> creșteți calitatea datelor seismice în timp (Røste și Ke, 2017); </w:t>
      </w:r>
      <w:r w:rsidR="00581E33" w:rsidRPr="007F452C">
        <w:rPr>
          <w:rStyle w:val="tlid-translation"/>
          <w:rFonts w:ascii="Arial" w:hAnsi="Arial" w:cs="Arial"/>
          <w:sz w:val="20"/>
          <w:szCs w:val="20"/>
          <w:lang w:val="ro-RO"/>
        </w:rPr>
        <w:t xml:space="preserve">sa </w:t>
      </w:r>
      <w:r w:rsidRPr="007F452C">
        <w:rPr>
          <w:rStyle w:val="tlid-translation"/>
          <w:rFonts w:ascii="Arial" w:hAnsi="Arial" w:cs="Arial"/>
          <w:sz w:val="20"/>
          <w:szCs w:val="20"/>
          <w:lang w:val="ro-RO"/>
        </w:rPr>
        <w:t xml:space="preserve">actualizați compresibilitatea porilor în modelul rezervorului (Alnes, 2010); harta compresiei rezervorului și </w:t>
      </w:r>
      <w:r w:rsidR="00581E33" w:rsidRPr="007F452C">
        <w:rPr>
          <w:rStyle w:val="tlid-translation"/>
          <w:rFonts w:ascii="Arial" w:hAnsi="Arial" w:cs="Arial"/>
          <w:sz w:val="20"/>
          <w:szCs w:val="20"/>
          <w:lang w:val="ro-RO"/>
        </w:rPr>
        <w:t xml:space="preserve">sa </w:t>
      </w:r>
      <w:r w:rsidRPr="007F452C">
        <w:rPr>
          <w:rStyle w:val="tlid-translation"/>
          <w:rFonts w:ascii="Arial" w:hAnsi="Arial" w:cs="Arial"/>
          <w:sz w:val="20"/>
          <w:szCs w:val="20"/>
          <w:lang w:val="ro-RO"/>
        </w:rPr>
        <w:t>aflați despre mecanismele de conducere (Vatshelle, 2017). Aplicațiile suplimentare includ determinarea ferestrei de timp pentru godeuri, care depinde de întinderea laterală a epuizării presiunii și studierea proprietăților acvifere.</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câmpurile de stocare a CO2, monitorizarea deformării suprafeței a fost în centrul atenției în ultimii ani, datorită creșterii atenției asupra activării defectelor și a seismicității induse (Rutqvist și colab., 2016). Experiența din onshore </w:t>
      </w:r>
      <w:r w:rsidR="00883905" w:rsidRPr="007F452C">
        <w:rPr>
          <w:rStyle w:val="tlid-translation"/>
          <w:rFonts w:ascii="Arial" w:hAnsi="Arial" w:cs="Arial"/>
          <w:sz w:val="20"/>
          <w:szCs w:val="20"/>
          <w:lang w:val="ro-RO"/>
        </w:rPr>
        <w:t>i</w:t>
      </w:r>
      <w:r w:rsidRPr="007F452C">
        <w:rPr>
          <w:rStyle w:val="tlid-translation"/>
          <w:rFonts w:ascii="Arial" w:hAnsi="Arial" w:cs="Arial"/>
          <w:sz w:val="20"/>
          <w:szCs w:val="20"/>
          <w:lang w:val="ro-RO"/>
        </w:rPr>
        <w:t>n proiectul Salah CO2 a demonstrat că datele de deformare a suprafeței frecvente și de înaltă rezoluție pot contribui la identificarea sau excluderea reactivării defectelor (Ringrose et al., 2013).</w:t>
      </w:r>
    </w:p>
    <w:p w:rsidR="002822C0" w:rsidRPr="007F452C" w:rsidRDefault="002822C0" w:rsidP="002822C0">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Pentru aplicațiile off-shore, tehnologia InSAR nu este aplicabilă, dar metoda de sondaj discutată aici oferă o precizie similară de până la 2 mm. Așa cum am menționat, seismicul în timp-lapse oferă o hartă volumetrică precisă a penelor CO2. Cu toate acestea, penajul sub presiune se poate extinde mult mai departe decât penajul CO2 și poate fi greu de detectat cu un timp seismic.</w:t>
      </w:r>
    </w:p>
    <w:p w:rsidR="00875902" w:rsidRPr="007F452C" w:rsidRDefault="002822C0" w:rsidP="00875902">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Deformația de pe fundul mării oferă un mijloc de monitorizare a penajului sub presiune prin efectul său asupra fundului marin. Acest lucru poate avea aplicații interesante pe zona continentala norvegiana, inclusiv: monitorizarea conformității, pentru a se asigura că presiunea evoluează așa cum este de așteptat în rezervor sau în formațiile din apropiere; monitorizare a retenției, pentru a investiga dacă penajul sub presiune se propagă către puțurile moștenite sau defecțiunile din zonă, deoarece ambele sunt puncte potențiale slabe pentru scurgeri.</w:t>
      </w:r>
    </w:p>
    <w:p w:rsidR="00875902" w:rsidRPr="007F452C" w:rsidRDefault="00875902" w:rsidP="00875902">
      <w:pPr>
        <w:spacing w:after="120" w:line="276" w:lineRule="auto"/>
        <w:rPr>
          <w:rStyle w:val="tlid-translation"/>
          <w:rFonts w:ascii="Arial" w:hAnsi="Arial" w:cs="Arial"/>
          <w:b/>
          <w:sz w:val="20"/>
          <w:szCs w:val="20"/>
          <w:lang w:val="ro-RO"/>
        </w:rPr>
      </w:pPr>
    </w:p>
    <w:p w:rsidR="00875902" w:rsidRPr="007F452C" w:rsidRDefault="00875902" w:rsidP="00580186">
      <w:pPr>
        <w:pStyle w:val="Heading3"/>
        <w:rPr>
          <w:rStyle w:val="tlid-translation"/>
          <w:rFonts w:ascii="Arial" w:hAnsi="Arial" w:cs="Arial"/>
          <w:b w:val="0"/>
          <w:sz w:val="20"/>
          <w:lang w:val="ro-RO"/>
        </w:rPr>
      </w:pPr>
      <w:bookmarkStart w:id="27" w:name="_Toc26091232"/>
      <w:r w:rsidRPr="007F452C">
        <w:rPr>
          <w:rStyle w:val="tlid-translation"/>
          <w:rFonts w:ascii="Arial" w:hAnsi="Arial" w:cs="Arial"/>
          <w:b w:val="0"/>
          <w:sz w:val="20"/>
          <w:lang w:val="ro-RO"/>
        </w:rPr>
        <w:t>Măsurători active ale găurilor de foraj</w:t>
      </w:r>
      <w:bookmarkEnd w:id="27"/>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Sondaje de înaltă rezoluție între foraje verticale sunt aplicate de rutină pentru a înțelege setarea și caracteristicile geologice din zona de interes. VSP-urile sunt întreprinse pentru a determina viteze seismice și studii tomografice care evidențiază structuri subterane, cum ar fi defecte sau cavități, pot fi utilizate pentru a imagina procese dependente de timp.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mod tradițional, geofonii, accelerometrele sau hidrofoanele sunt desfășurate pentru a efectua aceste sondaje, dar măsurătorile folosind senzor acustic distribuit cu fibră optică (DAS) sunt din ce în ce mai frecvente (vezi secțiunea cu senzorii DAS de mai jos).</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Tomografia seismică cu găuri încrucișate a fost recunoscută pe scară largă ca un instrument de imagistică de înaltă rezoluție pentru a monitoriza migrația CO2 în timpul injecției (de exemplu, Saito și colab., 2006; Daley et al., 2008).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De exemplu, modificările observabile ale vitezei seismice cauzate de deplasarea apei saline cu CO2 pot fi utilizate pentru a monitoriza comportamentul migrării CO2, de exemplu, așa cum s-a efectuat pe site-ul testului Ketzin (Zhang și colab., 2012). În plus, pentru a înțelege comportamentul de curgere a fluidelor poroase, au fost dezvoltate diferite metode, cum ar fi tomografia sub presiune încrucișată, eșantionarea pe mai multe niveluri și măsurători pe termen lung ale presiunii în jos (Freyberg, 1986; Butler și colab., 1999; Hsieh și colab., 1985; Paillet, 1993; Cook, 1995; Masumoto și colab., 1995; Karasaki și colab., 2000, Yeh și Liu, 2000, Vesselinov și colab., 2001, Vasco și Karasaki, 2001, Gringarten et al., 2003).</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prezent, aproape exclusiv tomografia cu undă P este folosită în studiile tomografice orientate geotehnic (Angioni și colab., 2003; Daley și colab., 2004; Dietrich și colab., 2009). Cu toate acestea, beneficiul geotehnic al tomografiei undelor P este destul de limitat, deoarece viteza undelor S este, de asemenea, necesară pentru a determina modificările parametrilor dinamici relevanți pentru inginerie geotehnică, de ex. rezistența la forfecare sau modulul de elasticitate.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plus, profilurile de viteză ale undei S polarizate orizontal și vertical (SH și SV, respectiv) pot fi utilizate pentru a evalua proprietățile anizotrope ale rocii. Până acum, s-au depus mici eforturi pentru dezvoltarea echipamentelor care să permită achiziția eficientă a datelor tomografice cu undă S în undă S.</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Observații indirecte ale modificărilor de presiune pot fi făcute cu investigații seismice, deoarece o reducere / creștere a presiunii are ca rezultat o reducere / creștere a vitezei și densității seismice. Pe măsură ce presiunea într-un rezervor scade, presiunea în supraîncărcarea crește și invers. Acest efect este cel mai ușor observat folosind undele S în nisipuri neconsolidate sau calcare poroase, deoarece volumul porilor este foarte redus (Bacon și colab., 2003).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Măsurătorile seismice pot fi, de asemenea, combinate cu observații de conductivitate electrică pentru a detecta modificări cantitative ale presiunii rezervorului, a saturației apei și a raportului CO2 / ulei.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De exemplu, acest tip de sondaj a fost realizat în studii pilot de injecție de CO2. De exemplu, Hoversten și colab. (2003) au observat modificări ale vitezei undei P, vitezei undei S și a conductivității electrice la SITE X.</w:t>
      </w:r>
    </w:p>
    <w:p w:rsidR="00875902" w:rsidRPr="007F452C" w:rsidRDefault="00875902" w:rsidP="00875902">
      <w:pPr>
        <w:spacing w:after="120" w:line="276" w:lineRule="auto"/>
        <w:rPr>
          <w:rStyle w:val="tlid-translation"/>
          <w:rFonts w:ascii="Arial" w:hAnsi="Arial" w:cs="Arial"/>
          <w:b/>
          <w:sz w:val="20"/>
          <w:szCs w:val="20"/>
          <w:lang w:val="ro-RO"/>
        </w:rPr>
      </w:pPr>
    </w:p>
    <w:p w:rsidR="00875902" w:rsidRPr="007F452C" w:rsidRDefault="00875902" w:rsidP="00580186">
      <w:pPr>
        <w:pStyle w:val="Heading3"/>
        <w:rPr>
          <w:rStyle w:val="tlid-translation"/>
          <w:rFonts w:ascii="Arial" w:hAnsi="Arial" w:cs="Arial"/>
          <w:b w:val="0"/>
          <w:sz w:val="20"/>
          <w:lang w:val="ro-RO"/>
        </w:rPr>
      </w:pPr>
      <w:bookmarkStart w:id="28" w:name="_Toc26091233"/>
      <w:r w:rsidRPr="007F452C">
        <w:rPr>
          <w:rStyle w:val="tlid-translation"/>
          <w:rFonts w:ascii="Arial" w:hAnsi="Arial" w:cs="Arial"/>
          <w:b w:val="0"/>
          <w:sz w:val="20"/>
          <w:lang w:val="ro-RO"/>
        </w:rPr>
        <w:t>Metode seismice pasive</w:t>
      </w:r>
      <w:bookmarkEnd w:id="28"/>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Cele două forme de metode seismice pasive pentru monitorizarea metodelor de stocare a CO2 sunt monitorizarea microseismică pentru a detecta orice seismicitate indusă și tehnici de interferometrie a zgomotului ambiental pentru a imagina sub-suprafața.</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Monitorizarea microseismică, pentru a monitoriza eliberarea de energie seismică prin apariția unor cutremure mici (denumită microseismicitate), se poate realiza prin desfășurarea de senzori în foraje adânci în apropierea punctului de injecție de CO2.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mod alternativ, rețelele dense de senzori la suprafață sau în foraje superficiale pot fi utilizate pentru a detecta evenimente microseismice prin îmbunătățirea SNR folosind metode de stivuire sau de formare a fasciculelor (de exemplu, Chambers și colab., 2010; Dando și colab., 2016; Verdon și colab., 2017; monitorizarea continuă a OCTIO în domeniul Oseberg, Norvegia).</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Avantajul desfășurării aproape de suprafață este faptul că nu este necesar să se folosească un foraj adânc costisitor și care să permită acoperirea spațială pe o suprafață mare. Dezavantajul este că SNR este scăzut datorită zgomotului aproape de suprafață și atenuării semnalului microseismic prin supraalimentare.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mod alternativ, fibra optică poate fi implementată mai ușor în spatele carcasei în puțurile care sunt deja utilizate. În general, este greu de imaginat monitorizarea pe termen lung a unui sit de stocare a CO2 care nu implică un sistem seismic de suprafață semi-permanent sau o serie de senzori de foraj sau o combinație a celor doi.</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Injecția de CO2 la adâncime perturbe</w:t>
      </w:r>
      <w:r w:rsidR="00883905" w:rsidRPr="007F452C">
        <w:rPr>
          <w:rStyle w:val="tlid-translation"/>
          <w:rFonts w:ascii="Arial" w:hAnsi="Arial" w:cs="Arial"/>
          <w:sz w:val="20"/>
          <w:szCs w:val="20"/>
          <w:lang w:val="ro-RO"/>
        </w:rPr>
        <w:t>aza</w:t>
      </w:r>
      <w:r w:rsidRPr="007F452C">
        <w:rPr>
          <w:rStyle w:val="tlid-translation"/>
          <w:rFonts w:ascii="Arial" w:hAnsi="Arial" w:cs="Arial"/>
          <w:sz w:val="20"/>
          <w:szCs w:val="20"/>
          <w:lang w:val="ro-RO"/>
        </w:rPr>
        <w:t xml:space="preserve"> câmpul de stres al rezervorului și al formațiunilor înconjurătoare și poate duce la microseism. Detectarea și localizarea unor astfel de evenimente oferă un mijloc util și rentabi</w:t>
      </w:r>
      <w:r w:rsidR="00883905" w:rsidRPr="007F452C">
        <w:rPr>
          <w:rStyle w:val="tlid-translation"/>
          <w:rFonts w:ascii="Arial" w:hAnsi="Arial" w:cs="Arial"/>
          <w:sz w:val="20"/>
          <w:szCs w:val="20"/>
          <w:lang w:val="ro-RO"/>
        </w:rPr>
        <w:t>l de monitorizare a migrării une</w:t>
      </w:r>
      <w:r w:rsidRPr="007F452C">
        <w:rPr>
          <w:rStyle w:val="tlid-translation"/>
          <w:rFonts w:ascii="Arial" w:hAnsi="Arial" w:cs="Arial"/>
          <w:sz w:val="20"/>
          <w:szCs w:val="20"/>
          <w:lang w:val="ro-RO"/>
        </w:rPr>
        <w:t>i pen</w:t>
      </w:r>
      <w:r w:rsidR="00883905" w:rsidRPr="007F452C">
        <w:rPr>
          <w:rStyle w:val="tlid-translation"/>
          <w:rFonts w:ascii="Arial" w:hAnsi="Arial" w:cs="Arial"/>
          <w:sz w:val="20"/>
          <w:szCs w:val="20"/>
          <w:lang w:val="ro-RO"/>
        </w:rPr>
        <w:t>e</w:t>
      </w:r>
      <w:r w:rsidRPr="007F452C">
        <w:rPr>
          <w:rStyle w:val="tlid-translation"/>
          <w:rFonts w:ascii="Arial" w:hAnsi="Arial" w:cs="Arial"/>
          <w:sz w:val="20"/>
          <w:szCs w:val="20"/>
          <w:lang w:val="ro-RO"/>
        </w:rPr>
        <w:t xml:space="preserve"> de CO2 în subsol.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Mai mult, o astfel de monitorizare seismică pasivă poate fi utilizată ca un sistem de avertizare timpurie pentru detectarea defecțiunii rocilor capului și reactivarea defectelor în supraalimentare. Stilul eșecului (mecanismul focal) și amploarea acestor evenimente oferă informații utile asupra răspunsului subteran la injecție. Ca atare, monitorizarea seismică pasivă este de interes atât pentru operatori, cât și pentru autoritățile de reglementare.</w:t>
      </w:r>
    </w:p>
    <w:p w:rsidR="00875902" w:rsidRPr="007F452C" w:rsidRDefault="00875902" w:rsidP="00875902">
      <w:pPr>
        <w:spacing w:after="120" w:line="276" w:lineRule="auto"/>
        <w:rPr>
          <w:rStyle w:val="tlid-translation"/>
          <w:rFonts w:ascii="Arial" w:hAnsi="Arial" w:cs="Arial"/>
          <w:sz w:val="20"/>
          <w:szCs w:val="20"/>
          <w:lang w:val="ro-RO"/>
        </w:rPr>
      </w:pPr>
      <w:r w:rsidRPr="007F452C">
        <w:rPr>
          <w:rFonts w:ascii="Arial" w:hAnsi="Arial" w:cs="Arial"/>
          <w:noProof/>
          <w:sz w:val="20"/>
          <w:szCs w:val="20"/>
          <w:lang w:val="en-US"/>
        </w:rPr>
        <w:drawing>
          <wp:anchor distT="0" distB="0" distL="114300" distR="114300" simplePos="0" relativeHeight="251661312" behindDoc="0" locked="0" layoutInCell="1" allowOverlap="1" wp14:anchorId="0CE1926D" wp14:editId="44BB153F">
            <wp:simplePos x="0" y="0"/>
            <wp:positionH relativeFrom="margin">
              <wp:align>center</wp:align>
            </wp:positionH>
            <wp:positionV relativeFrom="paragraph">
              <wp:posOffset>561975</wp:posOffset>
            </wp:positionV>
            <wp:extent cx="5751195" cy="1598295"/>
            <wp:effectExtent l="19050" t="19050" r="20955" b="20955"/>
            <wp:wrapThrough wrapText="bothSides">
              <wp:wrapPolygon edited="0">
                <wp:start x="-72" y="-257"/>
                <wp:lineTo x="-72" y="21883"/>
                <wp:lineTo x="21679" y="21883"/>
                <wp:lineTo x="21679" y="-257"/>
                <wp:lineTo x="-72" y="-257"/>
              </wp:wrapPolygon>
            </wp:wrapThrough>
            <wp:docPr id="14" name="Picture 47"/>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751195" cy="1598295"/>
                    </a:xfrm>
                    <a:prstGeom prst="rect">
                      <a:avLst/>
                    </a:prstGeom>
                    <a:ln>
                      <a:solidFill>
                        <a:schemeClr val="bg2">
                          <a:lumMod val="50000"/>
                        </a:schemeClr>
                      </a:solidFill>
                    </a:ln>
                  </pic:spPr>
                </pic:pic>
              </a:graphicData>
            </a:graphic>
          </wp:anchor>
        </w:drawing>
      </w:r>
      <w:r w:rsidRPr="007F452C">
        <w:rPr>
          <w:rStyle w:val="tlid-translation"/>
          <w:rFonts w:ascii="Arial" w:hAnsi="Arial" w:cs="Arial"/>
          <w:sz w:val="20"/>
          <w:szCs w:val="20"/>
          <w:lang w:val="ro-RO"/>
        </w:rPr>
        <w:t xml:space="preserve">Exemple de monitorizare seismică microseismică pasivă pe siturile de stocare de CO2 la scară largă includ câmpul Weyburn din Canada Centrală și câmpul In Salah din Algeria (figura </w:t>
      </w:r>
      <w:r w:rsidR="0029608E" w:rsidRPr="007F452C">
        <w:rPr>
          <w:rStyle w:val="tlid-translation"/>
          <w:rFonts w:ascii="Arial" w:hAnsi="Arial" w:cs="Arial"/>
          <w:sz w:val="20"/>
          <w:szCs w:val="20"/>
          <w:lang w:val="ro-RO"/>
        </w:rPr>
        <w:t>1</w:t>
      </w:r>
      <w:r w:rsidR="007A19B7" w:rsidRPr="007F452C">
        <w:rPr>
          <w:rStyle w:val="tlid-translation"/>
          <w:rFonts w:ascii="Arial" w:hAnsi="Arial" w:cs="Arial"/>
          <w:sz w:val="20"/>
          <w:szCs w:val="20"/>
          <w:lang w:val="ro-RO"/>
        </w:rPr>
        <w:t>1</w:t>
      </w:r>
      <w:r w:rsidRPr="007F452C">
        <w:rPr>
          <w:rStyle w:val="tlid-translation"/>
          <w:rFonts w:ascii="Arial" w:hAnsi="Arial" w:cs="Arial"/>
          <w:sz w:val="20"/>
          <w:szCs w:val="20"/>
          <w:lang w:val="ro-RO"/>
        </w:rPr>
        <w:t xml:space="preserv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b/>
          <w:sz w:val="20"/>
          <w:szCs w:val="20"/>
          <w:lang w:val="ro-RO"/>
        </w:rPr>
        <w:t xml:space="preserve">Figura </w:t>
      </w:r>
      <w:r w:rsidR="0029608E" w:rsidRPr="007F452C">
        <w:rPr>
          <w:rStyle w:val="tlid-translation"/>
          <w:rFonts w:ascii="Arial" w:hAnsi="Arial" w:cs="Arial"/>
          <w:b/>
          <w:sz w:val="20"/>
          <w:szCs w:val="20"/>
          <w:lang w:val="ro-RO"/>
        </w:rPr>
        <w:t>1</w:t>
      </w:r>
      <w:r w:rsidR="007A19B7" w:rsidRPr="007F452C">
        <w:rPr>
          <w:rStyle w:val="tlid-translation"/>
          <w:rFonts w:ascii="Arial" w:hAnsi="Arial" w:cs="Arial"/>
          <w:b/>
          <w:sz w:val="20"/>
          <w:szCs w:val="20"/>
          <w:lang w:val="ro-RO"/>
        </w:rPr>
        <w:t>1</w:t>
      </w:r>
      <w:r w:rsidRPr="007F452C">
        <w:rPr>
          <w:rStyle w:val="tlid-translation"/>
          <w:rFonts w:ascii="Arial" w:hAnsi="Arial" w:cs="Arial"/>
          <w:b/>
          <w:sz w:val="20"/>
          <w:szCs w:val="20"/>
          <w:lang w:val="ro-RO"/>
        </w:rPr>
        <w:t xml:space="preserve">. </w:t>
      </w:r>
      <w:r w:rsidRPr="007F452C">
        <w:rPr>
          <w:rStyle w:val="tlid-translation"/>
          <w:rFonts w:ascii="Arial" w:hAnsi="Arial" w:cs="Arial"/>
          <w:sz w:val="20"/>
          <w:szCs w:val="20"/>
          <w:lang w:val="ro-RO"/>
        </w:rPr>
        <w:t>Exemple de monitorizare seismică microseismică pasivă</w:t>
      </w:r>
    </w:p>
    <w:p w:rsidR="00875902" w:rsidRPr="007F452C" w:rsidRDefault="00875902" w:rsidP="00875902">
      <w:pPr>
        <w:spacing w:after="120" w:line="276" w:lineRule="auto"/>
        <w:rPr>
          <w:rStyle w:val="tlid-translation"/>
          <w:rFonts w:ascii="Arial" w:hAnsi="Arial" w:cs="Arial"/>
          <w:sz w:val="20"/>
          <w:szCs w:val="20"/>
          <w:lang w:val="ro-RO"/>
        </w:rPr>
      </w:pPr>
    </w:p>
    <w:p w:rsidR="00D727EE" w:rsidRPr="007F452C" w:rsidRDefault="00875902" w:rsidP="00875902">
      <w:pPr>
        <w:spacing w:after="120" w:line="276" w:lineRule="auto"/>
        <w:contextualSpacing/>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ambele cazuri, monitorizarea pasivă a fost făcută folosind tablouri de senzori seismici în foraj. Câmpul In Salah a injectat mai puțin de 4 Mt de CO2, dar a experimentat aproape </w:t>
      </w:r>
    </w:p>
    <w:p w:rsidR="00875902" w:rsidRPr="007F452C" w:rsidRDefault="00875902" w:rsidP="00875902">
      <w:pPr>
        <w:spacing w:after="120" w:line="276" w:lineRule="auto"/>
        <w:contextualSpacing/>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10 000 de evenimente microseismice detectate în mai puțin de un an (Stork și colab., 2015).</w:t>
      </w:r>
      <w:r w:rsidRPr="007F452C">
        <w:rPr>
          <w:rFonts w:ascii="Arial" w:hAnsi="Arial" w:cs="Arial"/>
          <w:sz w:val="20"/>
          <w:szCs w:val="20"/>
          <w:lang w:val="ro-RO"/>
        </w:rPr>
        <w:br/>
      </w:r>
      <w:r w:rsidRPr="007F452C">
        <w:rPr>
          <w:rStyle w:val="tlid-translation"/>
          <w:rFonts w:ascii="Arial" w:hAnsi="Arial" w:cs="Arial"/>
          <w:sz w:val="20"/>
          <w:szCs w:val="20"/>
          <w:lang w:val="ro-RO"/>
        </w:rPr>
        <w:t>În schimb, la Weyburn, u</w:t>
      </w:r>
      <w:r w:rsidR="00D727EE" w:rsidRPr="007F452C">
        <w:rPr>
          <w:rStyle w:val="tlid-translation"/>
          <w:rFonts w:ascii="Arial" w:hAnsi="Arial" w:cs="Arial"/>
          <w:sz w:val="20"/>
          <w:szCs w:val="20"/>
          <w:lang w:val="ro-RO"/>
        </w:rPr>
        <w:t>nde aproape 30 Mt de CO2 sunt p</w:t>
      </w:r>
      <w:r w:rsidRPr="007F452C">
        <w:rPr>
          <w:rStyle w:val="tlid-translation"/>
          <w:rFonts w:ascii="Arial" w:hAnsi="Arial" w:cs="Arial"/>
          <w:sz w:val="20"/>
          <w:szCs w:val="20"/>
          <w:lang w:val="ro-RO"/>
        </w:rPr>
        <w:t xml:space="preserve">uși în rezervor, mai puțin de 200 de evenimente microseismice au fost înregistrate </w:t>
      </w:r>
      <w:r w:rsidR="00D727EE" w:rsidRPr="007F452C">
        <w:rPr>
          <w:rFonts w:ascii="Arial" w:hAnsi="Arial" w:cs="Arial"/>
          <w:sz w:val="20"/>
          <w:szCs w:val="20"/>
          <w:lang w:val="ro-RO"/>
        </w:rPr>
        <w:t xml:space="preserve">în 10 ani de monitorizare </w:t>
      </w:r>
      <w:r w:rsidRPr="007F452C">
        <w:rPr>
          <w:rStyle w:val="tlid-translation"/>
          <w:rFonts w:ascii="Arial" w:hAnsi="Arial" w:cs="Arial"/>
          <w:sz w:val="20"/>
          <w:szCs w:val="20"/>
          <w:lang w:val="ro-RO"/>
        </w:rPr>
        <w:t xml:space="preserve">pe teren (Verdon și colab., 2013). În mod similar, pe site-ul Quest din Canada, unde&gt; 3Mt de CO2 au fost acum injectate cu foarte puține evenimente seismice raportate (Oropeza-Bacci și colab. 2017).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Totuși, proiectul Decatur CCS din Illinois, SUA, monitorizat cu un tablou în jos, a prezentat niveluri semnificative de microseismicitate, cu o magnitudine maximă de 1,1 (Goertz-Allmann și colab., 2017). În schimb, un tablou de suprafață desfășurat pe acest site a detectat &lt;100 de evenimente într-un an (Kaven și colab., 2014).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Deși niciunul dintre aceste câmpuri nu prezintă semne de scurgere, comparația demonstrează un răspuns geomecanic variabil la injecția de CO2 și, de asemenea, modul în care rezultatele pot varia în funcție de tipul dislocat. Evenimente mai mici sunt detectate atunci când monitorizarea este mai aproape de punctul de injecție.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 suprafață densă permanentă de pe primul site comercial CCS Aquistore din lume este </w:t>
      </w:r>
      <w:r w:rsidR="00D727EE" w:rsidRPr="007F452C">
        <w:rPr>
          <w:rStyle w:val="tlid-translation"/>
          <w:rFonts w:ascii="Arial" w:hAnsi="Arial" w:cs="Arial"/>
          <w:sz w:val="20"/>
          <w:szCs w:val="20"/>
          <w:lang w:val="ro-RO"/>
        </w:rPr>
        <w:t>gata</w:t>
      </w:r>
      <w:r w:rsidRPr="007F452C">
        <w:rPr>
          <w:rStyle w:val="tlid-translation"/>
          <w:rFonts w:ascii="Arial" w:hAnsi="Arial" w:cs="Arial"/>
          <w:sz w:val="20"/>
          <w:szCs w:val="20"/>
          <w:lang w:val="ro-RO"/>
        </w:rPr>
        <w:t xml:space="preserve"> să detecteze eventuale evenimente (Stork și colab., 2018a), cu toate acestea, cantitatea de CO2 injectată este încă mult mai mică decât cea din oricare dintre celelalte site-uri menționate. În toate cazurile, monitorizarea se face cu geofoane convenționale sau cu seismometre portabile.</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Figura </w:t>
      </w:r>
      <w:r w:rsidR="00DD387F" w:rsidRPr="007F452C">
        <w:rPr>
          <w:rStyle w:val="tlid-translation"/>
          <w:rFonts w:ascii="Arial" w:hAnsi="Arial" w:cs="Arial"/>
          <w:sz w:val="20"/>
          <w:szCs w:val="20"/>
          <w:lang w:val="ro-RO"/>
        </w:rPr>
        <w:t>11</w:t>
      </w:r>
      <w:r w:rsidRPr="007F452C">
        <w:rPr>
          <w:rStyle w:val="tlid-translation"/>
          <w:rFonts w:ascii="Arial" w:hAnsi="Arial" w:cs="Arial"/>
          <w:sz w:val="20"/>
          <w:szCs w:val="20"/>
          <w:lang w:val="ro-RO"/>
        </w:rPr>
        <w:t xml:space="preserve">.: (stânga) Seismicitate pe o perioadă de 8 ani pe site-ul de stocare CO2 Weyburn. Liniile verzi și albastre prezintă o injecție de CO2 și apă în fântâna adiacentă tabloul de monitorizare microseismic, iar rata rezultată de microseismicitate este prezentată ca o histogramă de evenimente pe lună. Zonele umbrite indică perioade de timp fără monitorizare microseismică. (Dreapta) </w:t>
      </w:r>
    </w:p>
    <w:p w:rsidR="00875902" w:rsidRPr="007F452C" w:rsidRDefault="00875902" w:rsidP="00875902">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În microseismul de la Salah pentru primele 4 luni din 2010. Ratele sunt afișate în negru ca număr de evenimente pe zi, iar numărul cumulat de evenimente este afișat în roșu. Rata de injecție de CO2 (în milioane de metri cubi standard pe zi) este indicată în verde. (Ambele din Verdon și colab., 2013).</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Interferometria cu zgomot ambiental (ANI) este o metodă pasivă pentru a estima funcția Green între două receptoare seismice, fără a fi nevoie de un cutremur sau o sursă seismică activă, utilizând înregistrări ale energiei zgomotului ambiental la cei doi receptori.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Măsurând câmpul de undă în două puncte în spațiu (la doi receptori), corelarea încrucișată a înregistrărilor și stivuirea în timp, răspunsul care ar fi fost măsurat la al doilea receptor dacă primul ar fi o sursă impulsivă (de exemplu, Wapenaar et al., 2010).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Acest răspuns este denumit un seismogram virtual. În mod efectiv, această operație constată diferența de timp de deplasare a undelor care sunt înregistrate la cei doi receptori (Curtis și colab., 2006). Metoda a fost utilizată în aplicații industriale în ultimii ani pentru a evalua potențialul său pentru a determina efectul producției de hidrocarburi (de exemplu, de Ridder și colab., 2014) și pentru a monitoriza injecția de CO2 (Cheraghi et al. 2017; Stork et al., 2018 ) și situri geotermale (de exemplu, Obermann și colab., 2015).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Rezultatele au arătat că este posibil să se obțină măsurători cu repetabilitate ridicată (de Ridder și Biondi, 2013) și sunt dezvoltate metode eficiente din punct de vedere al calculului pentru a permite monitorizarea în timp real (de exemplu, de Ridder și Biondi, 2015).</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Provocarea rămâne să integrăm complet înregistrările ANI cu alte date de monitorizare și PRM, deși sunt deja în lucru pentru a face acest lucru (de exemplu, Bussat, 2015) Matricea optimă de senzori pentru studiile de zgomot ambiental este probabil diferită de monitorizarea acolo unde sunt utilizate surse active sau evenimente seismice deoarece diferite părți ale câmpului de undă pot fi de interes.</w:t>
      </w:r>
    </w:p>
    <w:p w:rsidR="00875902" w:rsidRPr="007F452C" w:rsidRDefault="00875902" w:rsidP="00875902">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De exemplu, undele Sholte, undele de suprafață sau undele coda pot fi utilizate în studiile ANI, în timp ce undele corpului sunt utilizate cel mai frecvent în alte situații de monitorizare seismică. Proiectarea Array pentru a încorpora toate aplicațiile monitorizării seismice va necesita o modelare atentă și un sistem integrat de monitorizare va presupune tratarea simultană a datelor înregistrate la diferite frecvențe.</w:t>
      </w:r>
    </w:p>
    <w:p w:rsidR="00875902" w:rsidRPr="007F452C" w:rsidRDefault="00875902" w:rsidP="002822C0">
      <w:pPr>
        <w:pStyle w:val="Heading2"/>
        <w:rPr>
          <w:rFonts w:ascii="Arial" w:hAnsi="Arial" w:cs="Arial"/>
          <w:sz w:val="20"/>
        </w:rPr>
      </w:pPr>
      <w:bookmarkStart w:id="29" w:name="_Toc26091234"/>
      <w:r w:rsidRPr="007F452C">
        <w:rPr>
          <w:rFonts w:ascii="Arial" w:hAnsi="Arial" w:cs="Arial"/>
          <w:sz w:val="20"/>
        </w:rPr>
        <w:lastRenderedPageBreak/>
        <w:t>DAS - o tehnologie de monitorizare în curs de dezvoltare</w:t>
      </w:r>
      <w:bookmarkEnd w:id="29"/>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În mod tradițional, monitorizarea seismică se realizează folosind geofoane sau seismometre, iar în larg, aceasta include seismometre de pe fundul oceanului. Recent, tehnologiile de detectare a fibrelor optice, cel mai des denumite Distribuție Acustică de Senzaj (DAS), au fost dezvoltate pentru a înregistra sondaje active (Molenaar, 2012) și evenimente seismice (de exemplu, Lindsey și colab., 2017; Jousset și colab., 2018).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Monitorizarea cu cabluri DAS este o tehnologie în curs de dezvoltare rapidă și, cu îmbunătățiri ale pardoselii de zgomot și ușurință de instalare, devine tot mai des implementată pentru monitorizarea seismică.</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Cablurile DAS pot înregistra câmpurile de undă seismo-acustice și mișcările la sol, deoarece modificările tensiunii produc modificări în proprietățile reflectoare ale fibrei (Parker și colab., 2014). Avantajul acestui tip de monitorizare este că oferă o prelevare densă a câmpului de undă seismic și se pot face măsurători la, potențial, la metru sau sub-metru de-a lungul lungimii Fibrei, care poate avea o lungime de câțiva km.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Principiul fizic este ilustrat în figura </w:t>
      </w:r>
      <w:r w:rsidR="0029608E" w:rsidRPr="007F452C">
        <w:rPr>
          <w:rFonts w:ascii="Arial" w:hAnsi="Arial" w:cs="Arial"/>
          <w:sz w:val="20"/>
          <w:szCs w:val="20"/>
          <w:lang w:val="ro-RO"/>
        </w:rPr>
        <w:t>1</w:t>
      </w:r>
      <w:r w:rsidR="007A19B7" w:rsidRPr="007F452C">
        <w:rPr>
          <w:rFonts w:ascii="Arial" w:hAnsi="Arial" w:cs="Arial"/>
          <w:sz w:val="20"/>
          <w:szCs w:val="20"/>
          <w:lang w:val="ro-RO"/>
        </w:rPr>
        <w:t>2</w:t>
      </w:r>
      <w:r w:rsidR="0029608E" w:rsidRPr="007F452C">
        <w:rPr>
          <w:rFonts w:ascii="Arial" w:hAnsi="Arial" w:cs="Arial"/>
          <w:sz w:val="20"/>
          <w:szCs w:val="20"/>
          <w:lang w:val="ro-RO"/>
        </w:rPr>
        <w:t xml:space="preserve">. </w:t>
      </w:r>
      <w:r w:rsidRPr="007F452C">
        <w:rPr>
          <w:rFonts w:ascii="Arial" w:hAnsi="Arial" w:cs="Arial"/>
          <w:sz w:val="20"/>
          <w:szCs w:val="20"/>
          <w:lang w:val="ro-RO"/>
        </w:rPr>
        <w:t>de mai jos, în care un interogator optic lansează ambele impulsuri laser într-o fibră optică și, ulterior, detectează semnalul retrospectiv optic, care este modulat de tulpina liniară indusă de semnalele seismo-acustice incidente pe fibra optică.</w:t>
      </w:r>
    </w:p>
    <w:p w:rsidR="00875902" w:rsidRPr="007F452C" w:rsidRDefault="00875902" w:rsidP="00875902">
      <w:pPr>
        <w:spacing w:after="120" w:line="276" w:lineRule="auto"/>
        <w:rPr>
          <w:rFonts w:ascii="Arial" w:hAnsi="Arial" w:cs="Arial"/>
          <w:b/>
          <w:bCs/>
          <w:i/>
          <w:sz w:val="20"/>
          <w:szCs w:val="20"/>
          <w:highlight w:val="lightGray"/>
          <w:lang w:val="en-US"/>
        </w:rPr>
      </w:pPr>
      <w:r w:rsidRPr="007F452C">
        <w:rPr>
          <w:rFonts w:ascii="Arial" w:hAnsi="Arial" w:cs="Arial"/>
          <w:b/>
          <w:bCs/>
          <w:i/>
          <w:noProof/>
          <w:sz w:val="20"/>
          <w:szCs w:val="20"/>
          <w:lang w:val="en-US"/>
        </w:rPr>
        <w:drawing>
          <wp:anchor distT="0" distB="0" distL="114300" distR="114300" simplePos="0" relativeHeight="251663360" behindDoc="0" locked="0" layoutInCell="1" allowOverlap="1" wp14:anchorId="582AEDD3" wp14:editId="01F28CA0">
            <wp:simplePos x="0" y="0"/>
            <wp:positionH relativeFrom="column">
              <wp:posOffset>81915</wp:posOffset>
            </wp:positionH>
            <wp:positionV relativeFrom="paragraph">
              <wp:posOffset>43815</wp:posOffset>
            </wp:positionV>
            <wp:extent cx="3542030" cy="3077845"/>
            <wp:effectExtent l="19050" t="19050" r="20320" b="27305"/>
            <wp:wrapThrough wrapText="bothSides">
              <wp:wrapPolygon edited="0">
                <wp:start x="-116" y="-134"/>
                <wp:lineTo x="-116" y="21658"/>
                <wp:lineTo x="21608" y="21658"/>
                <wp:lineTo x="21608" y="-134"/>
                <wp:lineTo x="-116" y="-134"/>
              </wp:wrapPolygon>
            </wp:wrapThrough>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542030" cy="3077845"/>
                    </a:xfrm>
                    <a:prstGeom prst="rect">
                      <a:avLst/>
                    </a:prstGeom>
                    <a:ln>
                      <a:solidFill>
                        <a:schemeClr val="bg2">
                          <a:lumMod val="50000"/>
                        </a:schemeClr>
                      </a:solidFill>
                    </a:ln>
                  </pic:spPr>
                </pic:pic>
              </a:graphicData>
            </a:graphic>
          </wp:anchor>
        </w:drawing>
      </w:r>
      <w:r w:rsidRPr="007F452C">
        <w:rPr>
          <w:rStyle w:val="tlid-translation"/>
          <w:rFonts w:ascii="Arial" w:hAnsi="Arial" w:cs="Arial"/>
          <w:b/>
          <w:sz w:val="20"/>
          <w:szCs w:val="20"/>
          <w:lang w:val="ro-RO"/>
        </w:rPr>
        <w:t xml:space="preserve">Figura </w:t>
      </w:r>
      <w:r w:rsidR="0029608E" w:rsidRPr="007F452C">
        <w:rPr>
          <w:rStyle w:val="tlid-translation"/>
          <w:rFonts w:ascii="Arial" w:hAnsi="Arial" w:cs="Arial"/>
          <w:b/>
          <w:sz w:val="20"/>
          <w:szCs w:val="20"/>
          <w:lang w:val="ro-RO"/>
        </w:rPr>
        <w:t>1</w:t>
      </w:r>
      <w:r w:rsidR="007A19B7" w:rsidRPr="007F452C">
        <w:rPr>
          <w:rStyle w:val="tlid-translation"/>
          <w:rFonts w:ascii="Arial" w:hAnsi="Arial" w:cs="Arial"/>
          <w:b/>
          <w:sz w:val="20"/>
          <w:szCs w:val="20"/>
          <w:lang w:val="ro-RO"/>
        </w:rPr>
        <w:t>2</w:t>
      </w:r>
      <w:r w:rsidRPr="007F452C">
        <w:rPr>
          <w:rStyle w:val="tlid-translation"/>
          <w:rFonts w:ascii="Arial" w:hAnsi="Arial" w:cs="Arial"/>
          <w:b/>
          <w:sz w:val="20"/>
          <w:szCs w:val="20"/>
          <w:lang w:val="ro-RO"/>
        </w:rPr>
        <w:t>.</w:t>
      </w:r>
      <w:r w:rsidRPr="007F452C">
        <w:rPr>
          <w:rStyle w:val="tlid-translation"/>
          <w:rFonts w:ascii="Arial" w:hAnsi="Arial" w:cs="Arial"/>
          <w:sz w:val="20"/>
          <w:szCs w:val="20"/>
          <w:lang w:val="ro-RO"/>
        </w:rPr>
        <w:t>: Schema principiilor fizice din spatele tehnologiei DAS: Un impuls laser este lansat într-o fi</w:t>
      </w:r>
      <w:r w:rsidR="00D5277F" w:rsidRPr="007F452C">
        <w:rPr>
          <w:rStyle w:val="tlid-translation"/>
          <w:rFonts w:ascii="Arial" w:hAnsi="Arial" w:cs="Arial"/>
          <w:sz w:val="20"/>
          <w:szCs w:val="20"/>
          <w:lang w:val="ro-RO"/>
        </w:rPr>
        <w:t>bră optică de la un interogator</w:t>
      </w:r>
      <w:r w:rsidRPr="007F452C">
        <w:rPr>
          <w:rStyle w:val="tlid-translation"/>
          <w:rFonts w:ascii="Arial" w:hAnsi="Arial" w:cs="Arial"/>
          <w:sz w:val="20"/>
          <w:szCs w:val="20"/>
          <w:lang w:val="ro-RO"/>
        </w:rPr>
        <w:t xml:space="preserve"> optic. Retractorul Rayleigh generat din toate punctele de-a lungul fibrei este modulat de incidența semnalelor seismice pe fibra optică. Frecvența, intensitatea și locația de sosire a semnalelor sunt determinate de la detecția rezolvată în timp a retractorului de întoarcere din impulsurile laser.</w:t>
      </w:r>
    </w:p>
    <w:p w:rsidR="00875902" w:rsidRPr="007F452C" w:rsidRDefault="00875902" w:rsidP="00875902">
      <w:pPr>
        <w:spacing w:after="120" w:line="276" w:lineRule="auto"/>
        <w:rPr>
          <w:rFonts w:ascii="Arial" w:hAnsi="Arial" w:cs="Arial"/>
          <w:sz w:val="20"/>
          <w:szCs w:val="20"/>
        </w:rPr>
      </w:pPr>
    </w:p>
    <w:p w:rsidR="00875902" w:rsidRPr="007F452C" w:rsidRDefault="00875902" w:rsidP="00875902">
      <w:pPr>
        <w:spacing w:after="120" w:line="276" w:lineRule="auto"/>
        <w:rPr>
          <w:rStyle w:val="tlid-translation"/>
          <w:rFonts w:ascii="Arial" w:hAnsi="Arial" w:cs="Arial"/>
          <w:sz w:val="20"/>
          <w:szCs w:val="20"/>
          <w:lang w:val="ro-RO"/>
        </w:rPr>
      </w:pPr>
    </w:p>
    <w:p w:rsidR="00DD387F" w:rsidRPr="007F452C" w:rsidRDefault="00DD387F" w:rsidP="00875902">
      <w:pPr>
        <w:spacing w:after="120" w:line="276" w:lineRule="auto"/>
        <w:rPr>
          <w:rStyle w:val="tlid-translation"/>
          <w:rFonts w:ascii="Arial" w:hAnsi="Arial" w:cs="Arial"/>
          <w:sz w:val="20"/>
          <w:szCs w:val="20"/>
          <w:lang w:val="ro-RO"/>
        </w:rPr>
      </w:pP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Tehnologia DAS se bazează pe cabluri optice pasive cu costuri relativ scăzute ca element senzor și, prin urmare, poate oferi o acoperire spațială densă pe distanțe lungi, deoarece costurile de desfășurare sunt, de asemenea, relativ mici datorită greutății mici și robustetei mecanice a unui cablu cu fibră optică.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Astfel de cabluri sunt ușor trenate în fundul mării sau desfășurate în interiorul forajului de-a lungul tubului (sau cimentate în afara carcasei) datorită secțiunii mici a cablului (&lt;cm). Datorită efectelor de atenuare, Fibra instalată în afara carcasei găurilor de foraj este mai sensibilă decât Fibra din foraj. Aceste caracteristici DAS se încadrează bine în portofoliul de tehnici de monitorizare necesare pentru a asigura o injecție sigură și reținerea de CO2.</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Sistemele disponibile în comerț au rezoluție spațială sub-metru și până la 50 km Fibre de detectare, cu un răspuns de frecvență de la aproape DC până la mai mulți kHz. Aceasta depășește raza de frecvență a senzorilor seismici convenționali.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Cu toate acestea, DAS are unele dezavantaje cheie prin faptul că măsoară tensiunea liniară de-a lungul fibrei și, prin urmare, produce o componentă de mișcare și este cel mai sensibil la semnalele care se deplasează paralel cu fibra. Sensibilitatea scade cu un factor de aproximativ cosinus 2 la undele care se deplasează în larg (Willis și colab., 2016). Acest efect poate fi atenuat folosind o fibră mai scumpă înfășurată elicoidal, care crește sensibilitatea la azimut. Aceste tipuri de fibre sunt în curs de dezvoltare.</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 xml:space="preserve">DAS poate fi utilizat pentru a monitoriza CO2 în mai multe moduri: ca parte a unui sondaj activ seismic (de obicei în configurația profilului seismic vertical (VSP) (de exemplu, Correa și colab., 2018a)), măsurători de scurgere a timpului, fie direct pentru a măsura deplasarea- diferențele de timp (de ex. control-shot) sau ca parte a unui sondaj de reflecție 3D pentru a monitoriza variațiile impedanței acustice.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Poate fi, de asemenea, utilizat pentru măsurarea activității microseismice (Karrenbach și colab., 2017) sau ca parte a măsurătorilor interferometrice pasive (Martin și colab., 2018), din nou pentru a monitoriza migrarea fluidelor / gazelor. Poate fi, de asemenea, utilizat pentru a monitoriza fluxul de fluide (Johannessen et al, 2012; Molenaar și colab., 2011; MacPhail și colab., 2012) și, prin urmare, pentru a monitoriza integritatea bine. În cele din urmă, răspunsul cu frecvență largă permite măsurarea directă a semnalelor de tulpină asociate cu deformarea rocilor (de ex. Jin și Roy, 2017).</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Prima probă de explorare și producție (E&amp;P) pe teren în jos a tehnologiei DAS Fibră optică a fost realizată de Shell Canada în timpul finalizării unui puț de gaz strâns în februarie 2009 (Molenaar, 2012). Aplicațiile DAS pentru VSP beneficiază de achiziție de date care este „one-shot” și că nu este necesară nicio mișcare a fibrei (Madsen, 2012).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Au fost efectuate studii comparative VSP cu tehnologii convenționale de geofon (Cannon și colab., 2013) și au demonstrat că DAS VSP este o tehnică fezabilă pentru monitorizarea rezerv</w:t>
      </w:r>
      <w:r w:rsidR="00D5277F" w:rsidRPr="007F452C">
        <w:rPr>
          <w:rStyle w:val="tlid-translation"/>
          <w:rFonts w:ascii="Arial" w:hAnsi="Arial" w:cs="Arial"/>
          <w:sz w:val="20"/>
          <w:szCs w:val="20"/>
          <w:lang w:val="ro-RO"/>
        </w:rPr>
        <w:t>arelor din</w:t>
      </w:r>
      <w:r w:rsidRPr="007F452C">
        <w:rPr>
          <w:rStyle w:val="tlid-translation"/>
          <w:rFonts w:ascii="Arial" w:hAnsi="Arial" w:cs="Arial"/>
          <w:sz w:val="20"/>
          <w:szCs w:val="20"/>
          <w:lang w:val="ro-RO"/>
        </w:rPr>
        <w:t xml:space="preserve"> siturilor de stocare a CO2 (Harris și colab., 2016).</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studiile de monitorizare microseismică, cablul a fost instalat într-un puț de observație și au fost măsurate evenimente seismice rezultate din stimularea hidraulică într-un puț învecinat (Webster, 2013; Stork et al., 2019). Companiile petroliere precum Shell utilizează din ce în ce mai mult sisteme DAS pentru a monitoriza microseismicitatea (de exemplu, pe site-ul Quest din Alberta, Canada), iar DAS Fiber este instalat pentru a monitoriza injecția de CO2 pe site-ul Aquistore din sudul Saskatchewan, primul proiect comercial CCS din lume. </w:t>
      </w:r>
    </w:p>
    <w:p w:rsidR="00875902" w:rsidRPr="007F452C" w:rsidRDefault="00875902" w:rsidP="00875902">
      <w:pPr>
        <w:spacing w:after="120" w:line="276" w:lineRule="auto"/>
        <w:rPr>
          <w:rFonts w:ascii="Arial" w:hAnsi="Arial" w:cs="Arial"/>
          <w:sz w:val="20"/>
          <w:szCs w:val="20"/>
        </w:rPr>
      </w:pPr>
      <w:r w:rsidRPr="007F452C">
        <w:rPr>
          <w:rStyle w:val="tlid-translation"/>
          <w:rFonts w:ascii="Arial" w:hAnsi="Arial" w:cs="Arial"/>
          <w:sz w:val="20"/>
          <w:szCs w:val="20"/>
          <w:lang w:val="ro-RO"/>
        </w:rPr>
        <w:t xml:space="preserve">Companiile europene sunt lider în dezvoltarea sistemelor de monitorizare (de exemplu, Silixa, OptaSense, AP Sensing, Omnisens, FOtech Solutions, HiFi Electronics, QOREX). Monitorizarea seismică pasivă este o piață în creștere rapidă pentru sistemele DAS (de exemplu, Li și colab., 2015) și există exemple în care DAS a fost utilizat pentru a monitoriza activitatea seismică folosind cablul Fiber îngropat în tranșee puțin adânci (Jousset și colab., 2018). </w:t>
      </w:r>
      <w:r w:rsidR="00BC1F5D" w:rsidRPr="007F452C">
        <w:rPr>
          <w:rStyle w:val="tlid-translation"/>
          <w:rFonts w:ascii="Arial" w:hAnsi="Arial" w:cs="Arial"/>
          <w:sz w:val="20"/>
          <w:szCs w:val="20"/>
          <w:lang w:val="ro-RO"/>
        </w:rPr>
        <w:t>S</w:t>
      </w:r>
      <w:r w:rsidRPr="007F452C">
        <w:rPr>
          <w:rStyle w:val="tlid-translation"/>
          <w:rFonts w:ascii="Arial" w:hAnsi="Arial" w:cs="Arial"/>
          <w:sz w:val="20"/>
          <w:szCs w:val="20"/>
          <w:lang w:val="ro-RO"/>
        </w:rPr>
        <w:t xml:space="preserve">ensibilitatea rămâne un obiectiv pentru tehnologia DAS și o strategie comună de îmbunătățire a semnalului la zgomot în experimentele de cablu îngropate </w:t>
      </w:r>
      <w:r w:rsidR="00BC1F5D" w:rsidRPr="007F452C">
        <w:rPr>
          <w:rStyle w:val="tlid-translation"/>
          <w:rFonts w:ascii="Arial" w:hAnsi="Arial" w:cs="Arial"/>
          <w:sz w:val="20"/>
          <w:szCs w:val="20"/>
          <w:lang w:val="ro-RO"/>
        </w:rPr>
        <w:t>precum si</w:t>
      </w:r>
      <w:r w:rsidRPr="007F452C">
        <w:rPr>
          <w:rStyle w:val="tlid-translation"/>
          <w:rFonts w:ascii="Arial" w:hAnsi="Arial" w:cs="Arial"/>
          <w:sz w:val="20"/>
          <w:szCs w:val="20"/>
          <w:lang w:val="ro-RO"/>
        </w:rPr>
        <w:t xml:space="preserve"> utilizarea configurațiilor în buclă.</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În prezent, nu există parametri obișnuiți de performanță sau configurații de testare pentru tehnologia DAS comercială, dar eforturile industriei sunt în desfășurare prin intermediul Forumului internațional comun al industriei SEAFOM pentru tehnologia senzorului cu fibră optică pentru industria de petrol și gaze.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Mai mulți parteneri DigiMon (NORCE, Equinor, Silixa, Universitatea din Bristol și TNO) contribuie la acest forum. O întrebare-cheie care trebuie încă să răspundă pentru DAS este forma funcției de transfer. Pentru a înțelege semnalul înregistrat este necesar să înțelegeți sursa seismică, calea și efectele instrumentului, de exemplu pentru a determina amploarea evenimentului seismic.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Funcția de transfer ține cont de efectul instrumentului și poate fi considerată ca un sistem cu componente, constând din interogator și cablul care include fibra (figura </w:t>
      </w:r>
      <w:r w:rsidR="0029608E" w:rsidRPr="007F452C">
        <w:rPr>
          <w:rFonts w:ascii="Arial" w:hAnsi="Arial" w:cs="Arial"/>
          <w:sz w:val="20"/>
          <w:szCs w:val="20"/>
          <w:lang w:val="ro-RO"/>
        </w:rPr>
        <w:t>1</w:t>
      </w:r>
      <w:r w:rsidR="007A19B7" w:rsidRPr="007F452C">
        <w:rPr>
          <w:rFonts w:ascii="Arial" w:hAnsi="Arial" w:cs="Arial"/>
          <w:sz w:val="20"/>
          <w:szCs w:val="20"/>
          <w:lang w:val="ro-RO"/>
        </w:rPr>
        <w:t>3</w:t>
      </w:r>
      <w:r w:rsidRPr="007F452C">
        <w:rPr>
          <w:rFonts w:ascii="Arial" w:hAnsi="Arial" w:cs="Arial"/>
          <w:sz w:val="20"/>
          <w:szCs w:val="20"/>
          <w:lang w:val="ro-RO"/>
        </w:rPr>
        <w:t xml:space="preserve">.). Răspunsul interogatorului depinde de implementarea, specificațiile sondajului și, pentru sistemele comerciale, detaliile pot fi proprietate. </w:t>
      </w:r>
    </w:p>
    <w:p w:rsidR="00827720"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 xml:space="preserve">Fibra în sine, în cele mai multe cazuri, este destul de standard, dar poate suferi o atenuare crescută din cauza întunecării hidrogenului sau a micro-aplecării provocate de solicitări termice.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Cablul, care poate include gel pentru eliberarea tulpinii în timpul instalării, ar putea avea un efect semnificativ asupra răspunsului, precum și a desfășurării, care poate fi în carcasă sau în exterior.</w:t>
      </w:r>
    </w:p>
    <w:p w:rsidR="00827720" w:rsidRPr="007F452C" w:rsidRDefault="00875902" w:rsidP="00875902">
      <w:pPr>
        <w:spacing w:after="120" w:line="276" w:lineRule="auto"/>
        <w:rPr>
          <w:rFonts w:ascii="Arial" w:hAnsi="Arial" w:cs="Arial"/>
          <w:sz w:val="20"/>
          <w:szCs w:val="20"/>
          <w:lang w:val="ro-RO"/>
        </w:rPr>
      </w:pPr>
      <w:r w:rsidRPr="007F452C">
        <w:rPr>
          <w:rFonts w:ascii="Arial" w:hAnsi="Arial" w:cs="Arial"/>
          <w:noProof/>
          <w:sz w:val="20"/>
          <w:szCs w:val="20"/>
          <w:lang w:val="en-US"/>
        </w:rPr>
        <w:lastRenderedPageBreak/>
        <w:drawing>
          <wp:anchor distT="0" distB="0" distL="114300" distR="114300" simplePos="0" relativeHeight="251665408" behindDoc="0" locked="0" layoutInCell="1" allowOverlap="1" wp14:anchorId="510988DA" wp14:editId="75D3EBE9">
            <wp:simplePos x="0" y="0"/>
            <wp:positionH relativeFrom="column">
              <wp:posOffset>-8890</wp:posOffset>
            </wp:positionH>
            <wp:positionV relativeFrom="paragraph">
              <wp:posOffset>938530</wp:posOffset>
            </wp:positionV>
            <wp:extent cx="5726430" cy="2676525"/>
            <wp:effectExtent l="19050" t="19050" r="26670" b="28575"/>
            <wp:wrapThrough wrapText="bothSides">
              <wp:wrapPolygon edited="0">
                <wp:start x="-72" y="-154"/>
                <wp:lineTo x="-72" y="21831"/>
                <wp:lineTo x="21701" y="21831"/>
                <wp:lineTo x="21701" y="-154"/>
                <wp:lineTo x="-72" y="-154"/>
              </wp:wrapPolygon>
            </wp:wrapThrough>
            <wp:docPr id="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TransferFn.pdf"/>
                    <pic:cNvPicPr/>
                  </pic:nvPicPr>
                  <pic:blipFill>
                    <a:blip r:embed="rId28">
                      <a:extLst>
                        <a:ext uri="{28A0092B-C50C-407E-A947-70E740481C1C}">
                          <a14:useLocalDpi xmlns:a14="http://schemas.microsoft.com/office/drawing/2010/main" val="0"/>
                        </a:ext>
                      </a:extLst>
                    </a:blip>
                    <a:stretch>
                      <a:fillRect/>
                    </a:stretch>
                  </pic:blipFill>
                  <pic:spPr>
                    <a:xfrm>
                      <a:off x="0" y="0"/>
                      <a:ext cx="5726430" cy="2676525"/>
                    </a:xfrm>
                    <a:prstGeom prst="rect">
                      <a:avLst/>
                    </a:prstGeom>
                    <a:ln>
                      <a:solidFill>
                        <a:schemeClr val="bg2">
                          <a:lumMod val="50000"/>
                        </a:schemeClr>
                      </a:solidFill>
                    </a:ln>
                  </pic:spPr>
                </pic:pic>
              </a:graphicData>
            </a:graphic>
          </wp:anchor>
        </w:drawing>
      </w:r>
      <w:r w:rsidRPr="007F452C">
        <w:rPr>
          <w:rFonts w:ascii="Arial" w:hAnsi="Arial" w:cs="Arial"/>
          <w:sz w:val="20"/>
          <w:szCs w:val="20"/>
          <w:lang w:val="ro-RO"/>
        </w:rPr>
        <w:t xml:space="preserve">În afara carcasei este preferat semnalul maxim, dar nu este posibil dacă sunt utilizate puțuri preexistente. </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Fibrele din carcasă prezintă un zgomot mai ridicat și un răspuns cu frecvență limitată și pot afișa variații spațiale în cuplaj.</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b/>
          <w:sz w:val="20"/>
          <w:szCs w:val="20"/>
          <w:lang w:val="ro-RO"/>
        </w:rPr>
        <w:t xml:space="preserve">Figura </w:t>
      </w:r>
      <w:r w:rsidR="0029608E" w:rsidRPr="007F452C">
        <w:rPr>
          <w:rFonts w:ascii="Arial" w:hAnsi="Arial" w:cs="Arial"/>
          <w:b/>
          <w:sz w:val="20"/>
          <w:szCs w:val="20"/>
          <w:lang w:val="ro-RO"/>
        </w:rPr>
        <w:t>1</w:t>
      </w:r>
      <w:r w:rsidR="007A19B7" w:rsidRPr="007F452C">
        <w:rPr>
          <w:rFonts w:ascii="Arial" w:hAnsi="Arial" w:cs="Arial"/>
          <w:b/>
          <w:sz w:val="20"/>
          <w:szCs w:val="20"/>
          <w:lang w:val="ro-RO"/>
        </w:rPr>
        <w:t>3</w:t>
      </w:r>
      <w:r w:rsidRPr="007F452C">
        <w:rPr>
          <w:rFonts w:ascii="Arial" w:hAnsi="Arial" w:cs="Arial"/>
          <w:b/>
          <w:sz w:val="20"/>
          <w:szCs w:val="20"/>
          <w:lang w:val="ro-RO"/>
        </w:rPr>
        <w:t xml:space="preserve">.: </w:t>
      </w:r>
      <w:r w:rsidRPr="007F452C">
        <w:rPr>
          <w:rFonts w:ascii="Arial" w:hAnsi="Arial" w:cs="Arial"/>
          <w:sz w:val="20"/>
          <w:szCs w:val="20"/>
          <w:lang w:val="ro-RO"/>
        </w:rPr>
        <w:t>Schemă pentru a ilustra influențele asupra undelor seismice pe măsură ce călătoresc de la sursă la receptor (adaptate de la Naldrett și colab., 2018).</w:t>
      </w:r>
    </w:p>
    <w:p w:rsidR="00875902" w:rsidRPr="007F452C" w:rsidRDefault="00875902" w:rsidP="00875902">
      <w:pPr>
        <w:spacing w:after="120" w:line="276" w:lineRule="auto"/>
        <w:rPr>
          <w:rFonts w:ascii="Arial" w:hAnsi="Arial" w:cs="Arial"/>
          <w:sz w:val="20"/>
          <w:szCs w:val="20"/>
          <w:lang w:val="ro-RO"/>
        </w:rPr>
      </w:pPr>
      <w:r w:rsidRPr="007F452C">
        <w:rPr>
          <w:rFonts w:ascii="Arial" w:hAnsi="Arial" w:cs="Arial"/>
          <w:sz w:val="20"/>
          <w:szCs w:val="20"/>
          <w:lang w:val="ro-RO"/>
        </w:rPr>
        <w:t>În ciuda progreselor semnificative ale tehnologiei, rămân provocări cheie în analiza datelor DAS înainte ca DAS să fie dislocat în mod obișnuit pe site-urile de injecție de CO2 în scopuri de monitorizare seismică. Acestea sunt:</w:t>
      </w:r>
    </w:p>
    <w:p w:rsidR="00875902" w:rsidRPr="007F452C" w:rsidRDefault="00875902" w:rsidP="00875902">
      <w:pPr>
        <w:pStyle w:val="ListParagraph"/>
        <w:numPr>
          <w:ilvl w:val="1"/>
          <w:numId w:val="28"/>
        </w:numPr>
        <w:spacing w:after="120"/>
        <w:ind w:left="720"/>
        <w:rPr>
          <w:rFonts w:ascii="Arial" w:hAnsi="Arial" w:cs="Arial"/>
          <w:sz w:val="20"/>
          <w:szCs w:val="20"/>
          <w:lang w:val="ro-RO"/>
        </w:rPr>
      </w:pPr>
      <w:r w:rsidRPr="007F452C">
        <w:rPr>
          <w:rFonts w:ascii="Arial" w:hAnsi="Arial" w:cs="Arial"/>
          <w:sz w:val="20"/>
          <w:szCs w:val="20"/>
          <w:lang w:val="ro-RO"/>
        </w:rPr>
        <w:t>Analiza în timp real a seturilor de date mari;</w:t>
      </w:r>
    </w:p>
    <w:p w:rsidR="00875902" w:rsidRPr="007F452C" w:rsidRDefault="00875902" w:rsidP="00875902">
      <w:pPr>
        <w:pStyle w:val="ListParagraph"/>
        <w:numPr>
          <w:ilvl w:val="1"/>
          <w:numId w:val="28"/>
        </w:numPr>
        <w:spacing w:after="120"/>
        <w:ind w:left="720"/>
        <w:rPr>
          <w:rFonts w:ascii="Arial" w:hAnsi="Arial" w:cs="Arial"/>
          <w:sz w:val="20"/>
          <w:szCs w:val="20"/>
          <w:lang w:val="ro-RO"/>
        </w:rPr>
      </w:pPr>
      <w:r w:rsidRPr="007F452C">
        <w:rPr>
          <w:rFonts w:ascii="Arial" w:hAnsi="Arial" w:cs="Arial"/>
          <w:sz w:val="20"/>
          <w:szCs w:val="20"/>
          <w:lang w:val="ro-RO"/>
        </w:rPr>
        <w:t>Caracterul cu 1 component al datelor dintr-un singur cablu liniar;</w:t>
      </w:r>
    </w:p>
    <w:p w:rsidR="00875902" w:rsidRPr="007F452C" w:rsidRDefault="00875902" w:rsidP="00875902">
      <w:pPr>
        <w:pStyle w:val="ListParagraph"/>
        <w:numPr>
          <w:ilvl w:val="1"/>
          <w:numId w:val="28"/>
        </w:numPr>
        <w:spacing w:after="120"/>
        <w:ind w:left="720"/>
        <w:rPr>
          <w:rFonts w:ascii="Arial" w:hAnsi="Arial" w:cs="Arial"/>
          <w:sz w:val="20"/>
          <w:szCs w:val="20"/>
          <w:lang w:val="ro-RO"/>
        </w:rPr>
      </w:pPr>
      <w:r w:rsidRPr="007F452C">
        <w:rPr>
          <w:rFonts w:ascii="Arial" w:hAnsi="Arial" w:cs="Arial"/>
          <w:sz w:val="20"/>
          <w:szCs w:val="20"/>
          <w:lang w:val="ro-RO"/>
        </w:rPr>
        <w:t>Determinarea funcției de transfer de fibre;</w:t>
      </w:r>
    </w:p>
    <w:p w:rsidR="00875902" w:rsidRPr="007F452C" w:rsidRDefault="00875902" w:rsidP="00875902">
      <w:pPr>
        <w:pStyle w:val="ListParagraph"/>
        <w:numPr>
          <w:ilvl w:val="1"/>
          <w:numId w:val="28"/>
        </w:numPr>
        <w:spacing w:after="120"/>
        <w:ind w:left="720"/>
        <w:rPr>
          <w:rFonts w:ascii="Arial" w:hAnsi="Arial" w:cs="Arial"/>
          <w:sz w:val="20"/>
          <w:szCs w:val="20"/>
          <w:lang w:val="ro-RO"/>
        </w:rPr>
      </w:pPr>
      <w:r w:rsidRPr="007F452C">
        <w:rPr>
          <w:rFonts w:ascii="Arial" w:hAnsi="Arial" w:cs="Arial"/>
          <w:sz w:val="20"/>
          <w:szCs w:val="20"/>
          <w:lang w:val="ro-RO"/>
        </w:rPr>
        <w:t>Permite compararea directă cu metodele tradiționale (de exemplu, date geofonice);</w:t>
      </w:r>
    </w:p>
    <w:p w:rsidR="00875902" w:rsidRPr="007F452C" w:rsidRDefault="00875902" w:rsidP="00875902">
      <w:pPr>
        <w:pStyle w:val="ListParagraph"/>
        <w:numPr>
          <w:ilvl w:val="1"/>
          <w:numId w:val="28"/>
        </w:numPr>
        <w:spacing w:after="120"/>
        <w:ind w:left="720"/>
        <w:rPr>
          <w:rFonts w:ascii="Arial" w:hAnsi="Arial" w:cs="Arial"/>
          <w:sz w:val="20"/>
          <w:szCs w:val="20"/>
          <w:lang w:val="ro-RO"/>
        </w:rPr>
      </w:pPr>
      <w:r w:rsidRPr="007F452C">
        <w:rPr>
          <w:rFonts w:ascii="Arial" w:hAnsi="Arial" w:cs="Arial"/>
          <w:sz w:val="20"/>
          <w:szCs w:val="20"/>
          <w:lang w:val="ro-RO"/>
        </w:rPr>
        <w:t>Cerințe de date DAS pentru studii de zgomot ambiental.</w:t>
      </w:r>
    </w:p>
    <w:p w:rsidR="00875902" w:rsidRPr="007F452C" w:rsidRDefault="00875902" w:rsidP="002822C0">
      <w:pPr>
        <w:pStyle w:val="Heading2"/>
        <w:rPr>
          <w:rStyle w:val="tlid-translation"/>
          <w:rFonts w:ascii="Arial" w:hAnsi="Arial" w:cs="Arial"/>
          <w:sz w:val="20"/>
          <w:lang w:val="ro-RO"/>
        </w:rPr>
      </w:pPr>
      <w:bookmarkStart w:id="30" w:name="_Toc26091235"/>
      <w:r w:rsidRPr="007F452C">
        <w:rPr>
          <w:rStyle w:val="tlid-translation"/>
          <w:rFonts w:ascii="Arial" w:hAnsi="Arial" w:cs="Arial"/>
          <w:sz w:val="20"/>
          <w:lang w:val="ro-RO"/>
        </w:rPr>
        <w:t>Sisteme de monitorizare permanentă a rezervoarelor (PRM)</w:t>
      </w:r>
      <w:bookmarkEnd w:id="30"/>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Sistemele PRM sunt orice sistem de detectare instalat permanent destinat monitorizării unui rezervor, fie pe uscat, fie într-un mediu offshore.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Aici discutăm în mod specific un sistem PRM pentru utilizare în larg și constând din cabluri seismice din fundul oceanului special concepute pentru instalarea permanentă pe perioade îndelungate.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Ele constau din stații de senzori (de regulă cu 3 senzori de viteză a particulelor sau accelerometre montate în mod ortogonal și un hidrofon - un așa-numit pachet de senzori cu 4 componente (4C), adică 3C + 1C) conectat cu cabluri.</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Sistemele PRM au fost implementate pe site-uri off-shore începând cu mijlocul anilor 2000, cu primul sistem instalat pe câmpul Valhall.</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Începând cu 2016, sistemele PRM offshore sunt instalate în câmpurile Ekofisk, Valhall, Snorre;</w:t>
      </w:r>
      <w:r w:rsidR="009E7326"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Grane și Oseberg (toate offshore Norvegia) și în Jubarte și BC-10 (offshore Brazil). Sunt prevăzute alte instalații în câmpurile Heidrun, Johan Sverdrup și Johan Castberg în largul Norvegiei.</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Un sistem poate consta din câteva mii de stații de senzori 4C și sute de km de cablu de rețea de senzori. În prezent, există două proiecte de sistem PRM distincte disponibile pe piață, care diferă în funcție de tipul de tehnologie senzor seismic utilizat:</w:t>
      </w:r>
    </w:p>
    <w:p w:rsidR="00875902" w:rsidRPr="007F452C" w:rsidRDefault="00875902" w:rsidP="00875902">
      <w:pPr>
        <w:pStyle w:val="ListParagraph"/>
        <w:numPr>
          <w:ilvl w:val="0"/>
          <w:numId w:val="35"/>
        </w:numPr>
        <w:spacing w:after="120"/>
        <w:rPr>
          <w:rStyle w:val="tlid-translation"/>
          <w:rFonts w:ascii="Arial" w:hAnsi="Arial" w:cs="Arial"/>
          <w:sz w:val="20"/>
          <w:szCs w:val="20"/>
          <w:lang w:val="ro-RO"/>
        </w:rPr>
      </w:pPr>
      <w:r w:rsidRPr="007F452C">
        <w:rPr>
          <w:rStyle w:val="tlid-translation"/>
          <w:rFonts w:ascii="Arial" w:hAnsi="Arial" w:cs="Arial"/>
          <w:sz w:val="20"/>
          <w:szCs w:val="20"/>
          <w:lang w:val="ro-RO"/>
        </w:rPr>
        <w:t>Tehnologia senzorului electric;</w:t>
      </w:r>
    </w:p>
    <w:p w:rsidR="00875902" w:rsidRPr="007F452C" w:rsidRDefault="00875902" w:rsidP="00875902">
      <w:pPr>
        <w:pStyle w:val="ListParagraph"/>
        <w:numPr>
          <w:ilvl w:val="0"/>
          <w:numId w:val="35"/>
        </w:numPr>
        <w:spacing w:after="120"/>
        <w:rPr>
          <w:rFonts w:ascii="Arial" w:hAnsi="Arial" w:cs="Arial"/>
          <w:sz w:val="20"/>
          <w:szCs w:val="20"/>
          <w:lang w:val="ro-RO"/>
        </w:rPr>
      </w:pPr>
      <w:r w:rsidRPr="007F452C">
        <w:rPr>
          <w:rStyle w:val="tlid-translation"/>
          <w:rFonts w:ascii="Arial" w:hAnsi="Arial" w:cs="Arial"/>
          <w:sz w:val="20"/>
          <w:szCs w:val="20"/>
          <w:lang w:val="ro-RO"/>
        </w:rPr>
        <w:t xml:space="preserve"> Tehnologia senzorului optic.</w:t>
      </w:r>
    </w:p>
    <w:p w:rsidR="00875902" w:rsidRPr="007F452C" w:rsidRDefault="00875902" w:rsidP="00875902">
      <w:pPr>
        <w:pStyle w:val="ListParagraph"/>
        <w:spacing w:after="120"/>
        <w:rPr>
          <w:rFonts w:ascii="Arial" w:hAnsi="Arial" w:cs="Arial"/>
          <w:sz w:val="20"/>
          <w:szCs w:val="20"/>
          <w:lang w:val="ro-RO"/>
        </w:rPr>
      </w:pPr>
    </w:p>
    <w:p w:rsidR="00875902" w:rsidRPr="007F452C" w:rsidRDefault="00875902" w:rsidP="00875902">
      <w:pPr>
        <w:pStyle w:val="ListParagraph"/>
        <w:spacing w:after="120"/>
        <w:ind w:left="0"/>
        <w:rPr>
          <w:rStyle w:val="tlid-translation"/>
          <w:rFonts w:ascii="Arial" w:hAnsi="Arial" w:cs="Arial"/>
          <w:sz w:val="20"/>
          <w:szCs w:val="20"/>
          <w:lang w:val="ro-RO"/>
        </w:rPr>
      </w:pPr>
      <w:r w:rsidRPr="007F452C">
        <w:rPr>
          <w:rStyle w:val="tlid-translation"/>
          <w:rFonts w:ascii="Arial" w:hAnsi="Arial" w:cs="Arial"/>
          <w:sz w:val="20"/>
          <w:szCs w:val="20"/>
          <w:lang w:val="ro-RO"/>
        </w:rPr>
        <w:t>Tehnologia senzorului electric poate fi împărțită în:</w:t>
      </w:r>
    </w:p>
    <w:p w:rsidR="00875902" w:rsidRPr="007F452C" w:rsidRDefault="00875902" w:rsidP="00875902">
      <w:pPr>
        <w:pStyle w:val="ListParagraph"/>
        <w:numPr>
          <w:ilvl w:val="0"/>
          <w:numId w:val="36"/>
        </w:numPr>
        <w:spacing w:after="120"/>
        <w:rPr>
          <w:rFonts w:ascii="Arial" w:hAnsi="Arial" w:cs="Arial"/>
          <w:sz w:val="20"/>
          <w:szCs w:val="20"/>
          <w:lang w:val="ro-RO"/>
        </w:rPr>
      </w:pPr>
      <w:r w:rsidRPr="007F452C">
        <w:rPr>
          <w:rStyle w:val="tlid-translation"/>
          <w:rFonts w:ascii="Arial" w:hAnsi="Arial" w:cs="Arial"/>
          <w:sz w:val="20"/>
          <w:szCs w:val="20"/>
          <w:lang w:val="ro-RO"/>
        </w:rPr>
        <w:t>Senzori vechi (geofon tradițional și senzori analogici cu buclă deschisă);</w:t>
      </w:r>
    </w:p>
    <w:p w:rsidR="00875902" w:rsidRPr="007F452C" w:rsidRDefault="00875902" w:rsidP="00875902">
      <w:pPr>
        <w:pStyle w:val="ListParagraph"/>
        <w:numPr>
          <w:ilvl w:val="0"/>
          <w:numId w:val="36"/>
        </w:numPr>
        <w:spacing w:after="120"/>
        <w:rPr>
          <w:rStyle w:val="tlid-translation"/>
          <w:rFonts w:ascii="Arial" w:hAnsi="Arial" w:cs="Arial"/>
          <w:sz w:val="20"/>
          <w:szCs w:val="20"/>
          <w:lang w:val="ro-RO"/>
        </w:rPr>
      </w:pPr>
      <w:r w:rsidRPr="007F452C">
        <w:rPr>
          <w:rStyle w:val="tlid-translation"/>
          <w:rFonts w:ascii="Arial" w:hAnsi="Arial" w:cs="Arial"/>
          <w:sz w:val="20"/>
          <w:szCs w:val="20"/>
          <w:lang w:val="ro-RO"/>
        </w:rPr>
        <w:t>Sisteme moderne de micro-electro-mecanice (MEMS) - senzori digitali cu buclă închisă (feedback-ul forței).</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Geofonii au fost folosiți de foarte mult timp, iar funcționalitățile și limitările lor sunt bine cunoscute.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Accelerometrele MEMS prezintă numeroase avantaje în ceea ce privește geofonii, în special lățimea de bandă (de la curent continuu și în sus), faza liniară, distorsiuni reduse și zgomot redus al instrumentului. </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Principalul avantaj al geofonilor este consumul de energie cu cost redus și ușor mai mic, în funcție de designul ales.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În plus față de senzorul 3C (geofon sau MEMS), un sistem PRM va conține, de asemenea, un hidrofon (senzor de presiune dinamic), de obicei un design bazat pe piezo-electric pentru versiunea tehnologică a senzorului electric al unui sistem PRM și un hidrofon optic (fibră învelită în jurul unui mandrin) pentru versiunea tehnologiei cu senzor optic.</w:t>
      </w:r>
    </w:p>
    <w:p w:rsidR="00827720"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Partenerul Octio oferă tehnologie de detecție de ultimă generație, unde un senzor MEMS digital vectorizat este utilizat pentru a oferi o fidelitate vectorială ridicată cu zgomot redus al instrumentului și o sensibilitate de 40 ng.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Sistemul de astăzi este cunoscut drept primul sistem offshore cu capacitatea de a detecta cutremure foarte mici complexe din cauza fracturării din procesele de injecție. Sistemul lui Octio vine și cu geofoane omnidirecționale standard.</w:t>
      </w:r>
    </w:p>
    <w:p w:rsidR="00875902" w:rsidRPr="007F452C" w:rsidRDefault="00875902" w:rsidP="00875902">
      <w:pPr>
        <w:spacing w:after="120" w:line="276" w:lineRule="auto"/>
        <w:rPr>
          <w:rFonts w:ascii="Arial" w:hAnsi="Arial" w:cs="Arial"/>
          <w:sz w:val="20"/>
          <w:szCs w:val="20"/>
          <w:lang w:val="ro-RO"/>
        </w:rPr>
      </w:pPr>
      <w:r w:rsidRPr="007F452C">
        <w:rPr>
          <w:rStyle w:val="tlid-translation"/>
          <w:rFonts w:ascii="Arial" w:hAnsi="Arial" w:cs="Arial"/>
          <w:sz w:val="20"/>
          <w:szCs w:val="20"/>
          <w:lang w:val="ro-RO"/>
        </w:rPr>
        <w:t xml:space="preserve">Un sistem PRM tipic, cu cabluri ombilicale Riser, ansambluri de senzori (SAA), cabluri de plumb cu fibră optică (LIC), unități de distribuție sub-marine (SDU), hub-uri și stații de senzori seismice (SSS), inclusiv achiziție, înregistrare și date de top sisteme de alimentare cu energie electrică (figura </w:t>
      </w:r>
      <w:r w:rsidR="0029608E" w:rsidRPr="007F452C">
        <w:rPr>
          <w:rStyle w:val="tlid-translation"/>
          <w:rFonts w:ascii="Arial" w:hAnsi="Arial" w:cs="Arial"/>
          <w:sz w:val="20"/>
          <w:szCs w:val="20"/>
          <w:lang w:val="ro-RO"/>
        </w:rPr>
        <w:t>1</w:t>
      </w:r>
      <w:r w:rsidR="007A19B7" w:rsidRPr="007F452C">
        <w:rPr>
          <w:rStyle w:val="tlid-translation"/>
          <w:rFonts w:ascii="Arial" w:hAnsi="Arial" w:cs="Arial"/>
          <w:sz w:val="20"/>
          <w:szCs w:val="20"/>
          <w:lang w:val="ro-RO"/>
        </w:rPr>
        <w:t>4</w:t>
      </w:r>
      <w:r w:rsidR="0029608E" w:rsidRPr="007F452C">
        <w:rPr>
          <w:rStyle w:val="tlid-translation"/>
          <w:rFonts w:ascii="Arial" w:hAnsi="Arial" w:cs="Arial"/>
          <w:sz w:val="20"/>
          <w:szCs w:val="20"/>
          <w:lang w:val="ro-RO"/>
        </w:rPr>
        <w:t>.</w:t>
      </w:r>
      <w:r w:rsidRPr="007F452C">
        <w:rPr>
          <w:rStyle w:val="tlid-translation"/>
          <w:rFonts w:ascii="Arial" w:hAnsi="Arial" w:cs="Arial"/>
          <w:sz w:val="20"/>
          <w:szCs w:val="20"/>
          <w:lang w:val="ro-RO"/>
        </w:rPr>
        <w:t>).</w:t>
      </w:r>
    </w:p>
    <w:p w:rsidR="00875902" w:rsidRPr="007F452C" w:rsidRDefault="00875902" w:rsidP="00875902">
      <w:pPr>
        <w:spacing w:after="120" w:line="276" w:lineRule="auto"/>
        <w:rPr>
          <w:rFonts w:ascii="Arial" w:hAnsi="Arial" w:cs="Arial"/>
          <w:b/>
          <w:i/>
          <w:sz w:val="20"/>
          <w:szCs w:val="20"/>
        </w:rPr>
      </w:pPr>
      <w:r w:rsidRPr="007F452C">
        <w:rPr>
          <w:rStyle w:val="tlid-translation"/>
          <w:rFonts w:ascii="Arial" w:hAnsi="Arial" w:cs="Arial"/>
          <w:b/>
          <w:sz w:val="20"/>
          <w:szCs w:val="20"/>
          <w:lang w:val="ro-RO"/>
        </w:rPr>
        <w:t xml:space="preserve">Figura </w:t>
      </w:r>
      <w:r w:rsidR="0029608E" w:rsidRPr="007F452C">
        <w:rPr>
          <w:rStyle w:val="tlid-translation"/>
          <w:rFonts w:ascii="Arial" w:hAnsi="Arial" w:cs="Arial"/>
          <w:b/>
          <w:sz w:val="20"/>
          <w:szCs w:val="20"/>
          <w:lang w:val="ro-RO"/>
        </w:rPr>
        <w:t>1</w:t>
      </w:r>
      <w:r w:rsidR="007A19B7" w:rsidRPr="007F452C">
        <w:rPr>
          <w:rStyle w:val="tlid-translation"/>
          <w:rFonts w:ascii="Arial" w:hAnsi="Arial" w:cs="Arial"/>
          <w:b/>
          <w:sz w:val="20"/>
          <w:szCs w:val="20"/>
          <w:lang w:val="ro-RO"/>
        </w:rPr>
        <w:t>4</w:t>
      </w:r>
      <w:r w:rsidRPr="007F452C">
        <w:rPr>
          <w:rStyle w:val="tlid-translation"/>
          <w:rFonts w:ascii="Arial" w:hAnsi="Arial" w:cs="Arial"/>
          <w:b/>
          <w:sz w:val="20"/>
          <w:szCs w:val="20"/>
          <w:lang w:val="ro-RO"/>
        </w:rPr>
        <w:t>.</w:t>
      </w:r>
      <w:r w:rsidRPr="007F452C">
        <w:rPr>
          <w:rStyle w:val="tlid-translation"/>
          <w:rFonts w:ascii="Arial" w:hAnsi="Arial" w:cs="Arial"/>
          <w:sz w:val="20"/>
          <w:szCs w:val="20"/>
          <w:lang w:val="ro-RO"/>
        </w:rPr>
        <w:t xml:space="preserve">: Un sistem PRM tipic cu cabluri ombilicale Riser, ansambluri de senzori (SAA), cabluri cu fibra optică de plumb (LIC), unități de distribuție subterane (SDU), butuci și stații de senzori seismice (SSS), inclusiv achiziția de date, sisteme de </w:t>
      </w:r>
      <w:r w:rsidR="007A19B7" w:rsidRPr="007F452C">
        <w:rPr>
          <w:rStyle w:val="tlid-translation"/>
          <w:rFonts w:ascii="Arial" w:hAnsi="Arial" w:cs="Arial"/>
          <w:sz w:val="20"/>
          <w:szCs w:val="20"/>
          <w:lang w:val="ro-RO"/>
        </w:rPr>
        <w:t xml:space="preserve">monitorizare si </w:t>
      </w:r>
      <w:r w:rsidRPr="007F452C">
        <w:rPr>
          <w:rStyle w:val="tlid-translation"/>
          <w:rFonts w:ascii="Arial" w:hAnsi="Arial" w:cs="Arial"/>
          <w:sz w:val="20"/>
          <w:szCs w:val="20"/>
          <w:lang w:val="ro-RO"/>
        </w:rPr>
        <w:t>înregistrare și alimentare.</w:t>
      </w:r>
      <w:r w:rsidRPr="007F452C">
        <w:rPr>
          <w:rFonts w:ascii="Arial" w:hAnsi="Arial" w:cs="Arial"/>
          <w:noProof/>
          <w:sz w:val="20"/>
          <w:szCs w:val="20"/>
          <w:lang w:val="en-US"/>
        </w:rPr>
        <w:drawing>
          <wp:anchor distT="0" distB="0" distL="114300" distR="114300" simplePos="0" relativeHeight="251667456" behindDoc="0" locked="0" layoutInCell="1" allowOverlap="1" wp14:anchorId="5E0E3CE2" wp14:editId="634291E0">
            <wp:simplePos x="0" y="0"/>
            <wp:positionH relativeFrom="margin">
              <wp:posOffset>6350</wp:posOffset>
            </wp:positionH>
            <wp:positionV relativeFrom="paragraph">
              <wp:posOffset>-5080</wp:posOffset>
            </wp:positionV>
            <wp:extent cx="4494530" cy="2740660"/>
            <wp:effectExtent l="19050" t="19050" r="20320" b="21590"/>
            <wp:wrapThrough wrapText="bothSides">
              <wp:wrapPolygon edited="0">
                <wp:start x="-92" y="-150"/>
                <wp:lineTo x="-92" y="21770"/>
                <wp:lineTo x="21698" y="21770"/>
                <wp:lineTo x="21698" y="-150"/>
                <wp:lineTo x="-92" y="-150"/>
              </wp:wrapPolygon>
            </wp:wrapThrough>
            <wp:docPr id="26" name="Picture 48" descr="C:\Users\lelo\AppData\Local\Microsoft\Windows\Temporary Internet Files\Content.Outlook\WXDXSXNA\Design Basis Illustrations (0000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elo\AppData\Local\Microsoft\Windows\Temporary Internet Files\Content.Outlook\WXDXSXNA\Design Basis Illustrations (00000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94530" cy="2740660"/>
                    </a:xfrm>
                    <a:prstGeom prst="rect">
                      <a:avLst/>
                    </a:prstGeom>
                    <a:noFill/>
                    <a:ln>
                      <a:solidFill>
                        <a:schemeClr val="bg2">
                          <a:lumMod val="50000"/>
                        </a:schemeClr>
                      </a:solidFill>
                    </a:ln>
                  </pic:spPr>
                </pic:pic>
              </a:graphicData>
            </a:graphic>
          </wp:anchor>
        </w:drawing>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Matveeva et. Al. (2015) a introdus o metodă pentru utilizarea unui sistem PRM compact pentru monitorizarea unei godeuri de injecție în câmpul Oseberg. Sistemul înregistrează toate datele în timp real, permițând clientului să proceseze și să analizeze datele pentru o mai bună gestionare a operației cu un risc redus.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lastRenderedPageBreak/>
        <w:t xml:space="preserve">Proiectul arată că pot fi detectate evenimente de microseism legate de injecție din sistem (Dando și colab., 2016) și acest lucru a fost corelat și cu căderile de presiune măsurate în puț (Bussat și colab. 2016). </w:t>
      </w:r>
    </w:p>
    <w:p w:rsidR="00875902" w:rsidRPr="007F452C" w:rsidRDefault="00875902" w:rsidP="00875902">
      <w:pPr>
        <w:spacing w:after="120" w:line="276" w:lineRule="auto"/>
        <w:rPr>
          <w:rStyle w:val="tlid-translation"/>
          <w:rFonts w:ascii="Arial" w:hAnsi="Arial" w:cs="Arial"/>
          <w:sz w:val="20"/>
          <w:szCs w:val="20"/>
          <w:lang w:val="ro-RO"/>
        </w:rPr>
      </w:pPr>
      <w:r w:rsidRPr="007F452C">
        <w:rPr>
          <w:rStyle w:val="tlid-translation"/>
          <w:rFonts w:ascii="Arial" w:hAnsi="Arial" w:cs="Arial"/>
          <w:sz w:val="20"/>
          <w:szCs w:val="20"/>
          <w:lang w:val="ro-RO"/>
        </w:rPr>
        <w:t>Exemplul Oseberg este primul exemplu offshore care demonstrează cu succes capacitatea de a monitoriza procesul de injecție și, de asemenea, o dovadă a conceptului pentru o nouă aplicare a utilizării tehnicilor pasive din datele PRM.</w:t>
      </w:r>
    </w:p>
    <w:p w:rsidR="00875902" w:rsidRPr="007F452C" w:rsidRDefault="00875902" w:rsidP="002822C0">
      <w:pPr>
        <w:pStyle w:val="Heading2"/>
        <w:rPr>
          <w:rFonts w:ascii="Arial" w:hAnsi="Arial" w:cs="Arial"/>
          <w:sz w:val="20"/>
        </w:rPr>
      </w:pPr>
      <w:bookmarkStart w:id="31" w:name="_Toc26091236"/>
      <w:r w:rsidRPr="007F452C">
        <w:rPr>
          <w:rFonts w:ascii="Arial" w:hAnsi="Arial" w:cs="Arial"/>
          <w:sz w:val="20"/>
        </w:rPr>
        <w:t>Integrarea diferitelor tipuri de date și cuantificarea incertitudinii</w:t>
      </w:r>
      <w:bookmarkEnd w:id="31"/>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Obținerea estimărilor fiabile de saturație și presiune numai din datele seismice standard poate fi dificilă, din cauza erorilor de modelare și date, a condiționării precare a sistemului AVO liniarizat și a incertitudinilor semnificative ale modelului petroelastic. Pentru a crește fiabilitatea rezultatelor inversării, combinarea datelor seismice standard cu informațiile din tipurile de date geofizice complementare, cum ar fi gravimetria, CSEM și DxS, este o opțiune.</w:t>
      </w:r>
      <w:r w:rsidRPr="007F452C">
        <w:rPr>
          <w:rFonts w:ascii="Arial" w:hAnsi="Arial" w:cs="Arial"/>
          <w:sz w:val="20"/>
          <w:szCs w:val="20"/>
          <w:lang w:val="ro-RO"/>
        </w:rPr>
        <w:br/>
        <w:t xml:space="preserve">Combinarea tipurilor de date complementare geofizice nu este un proces simplu și au fost propuse multe abordări diferite. Unele tehnici de utilizare comună se bazează pe presupunerea că tipurile de date sunt legate prin intermediul petrofizicelor (Moorkamp et al., 2011, Abubakar et al. 2012, Chen și Hoversten, 2012) sau structurale (DeStefano et al., 2011, Gallardo și Relații Meju, 2011, Lien, 2013). Relațiile petrofizice sunt de obicei empirice și necesită calibrarea datelor experimentale. </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Presupunerea care stă la baza tehnicilor structurale este că toate tipurile de date sunt funcții ale aceleiași structuri subiacente.</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În timp ce toate tehnicile de mai sus vizează utilizarea tipurilor de date complementare într-un singur proces de inversare, așa-numitele tehnici de inversare cooperativă (Lines și colab., 1988) au scopul de a inversa tipurile de date în etape separate, cu modelul rezultat din inversarea unuia tipul de date care acționează ca model de pornire sau constrângere pentru inversarea ulterioară a unui alt tip de date. </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Exemple de tehnici de inversare cooperativă se găsesc în Tveit și colab., 2015, în care rezultatele inversării seismice interpretate sunt utilizate ca informații structurale anterioare pentru inversiunea CSEM și în Tveit și colab., 2016, unde CSEM și datele AVO seismice sunt utilizate pentru a discrimina între fronturi de saturație și presiune. Alte exemple se găsesc în DeStefano și colab., 2011, Um și colab., 2014, Takougang și colab., 2015, unde inversarea fiecărui tip de date se face în secvență și, în unele cazuri, este iterată.</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Schimbarea informațiilor între modelele geofizice din secvențele de inversare disparate poate fi dificilă, mai ales că rezoluțiile spațiale și nivelurile de zgomot relativ asociate diferitelor tipuri de date sunt diferite. Utilizarea tehnicilor de inversiune care facilitează cuantificarea incertitudinii ca parte integrantă a metodologiei, cum ar fi tehnicile din cadrul bayesian, este, prin urmare, avantajoasă.</w:t>
      </w:r>
    </w:p>
    <w:p w:rsidR="002822C0"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Teoria bayesiană este fundamentul pentru practicarea cuantificării incertitudinii în modelarea subterană. De obicei, cantitatea de date în sine nu este suficientă pentru a construi un model complet. Cu estimarea bayesiană, funcția de densitate a probabilității anterioare (PDF) pentru cantitatea de interes este actualizată folosind funcția de probabilitate a datelor pentru a obține PDF-ul posterior utilizând formula Bayes. </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PDF-ul anterior reprezintă cunoștințe care nu au legătură cu datele din funcția de probabilitate, în timp ce PDF-ul posterior ia în considerare atât datele cât și cunoștințele care stau la baza PDF-ului anterior. PDF-ul posterior reprezintă soluția bayesiană la problema inversă. Din PDF-ul posterior, se poate obține o estimare cea mai bună (media) și o cuantificare a incertitudinii din estimarea respectivă (covarianța).</w:t>
      </w:r>
    </w:p>
    <w:p w:rsidR="002822C0"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În general, PDF-ul posterior trebuie să fie caracterizat prin eșantionare. Membrii clasei de metode a lanțului Markov Monte Carlo (MCMC) (Metropolis și colab., 1953, Hastings, 1970) probează corect din PDF-ul posterior, dar sunt în prezent prea intens pentru calcul pentru a fi aplicabile cazurilor reale pentru aplicații subterane. </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Pentru aplicarea metodelor MCMC în cazuri mai mici cu date geofizice, vezi, de exemplu, Gunning și Glinsky, 2004, Bodin și Sambridge, 2009, Buland și Kolbjørnsen, 2012, Ray și Key, 2012.</w:t>
      </w:r>
    </w:p>
    <w:p w:rsidR="00875902"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Metodele bayesiene bazate pe ansamblu, cum ar fi ansamblul filtru Kalman (Evensen, 1994) și ansamblul Kalman mai neted (van Leeuwen și Evensen, 1996), sunt din punct de vedere calculativ mult mai puțin intensiv decât metodele MCMC și se prelevează aproximativ corect din PDF-ul posterior. Apoi, cea mai bună </w:t>
      </w:r>
      <w:r w:rsidRPr="007F452C">
        <w:rPr>
          <w:rFonts w:ascii="Arial" w:hAnsi="Arial" w:cs="Arial"/>
          <w:sz w:val="20"/>
          <w:szCs w:val="20"/>
          <w:lang w:val="ro-RO"/>
        </w:rPr>
        <w:lastRenderedPageBreak/>
        <w:t xml:space="preserve">estimare este dată de media eșantionului, în timp ce incertitudinea poate fi cuantificată folosind covarianța probei. </w:t>
      </w:r>
    </w:p>
    <w:p w:rsidR="002822C0" w:rsidRPr="007F452C" w:rsidRDefault="00875902" w:rsidP="00875902">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Metodele bayesiene bazate pe ansamblu sunt operaționale în sistemele oceanografice și de prognoză meteo, sunt metodele preferate pentru potrivirea istoriei rezervoarelor în multe companii petroliere și au început să apară aplicații pentru monitorizarea geofizică (Tveit și colab., 2016, Tveit și colab., 2018). Pentru comoditate de calcul, dimensiunea ansamblului în aplicații este de obicei moderată. </w:t>
      </w:r>
    </w:p>
    <w:p w:rsidR="007570EB" w:rsidRPr="007F452C" w:rsidRDefault="00875902" w:rsidP="0029608E">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 xml:space="preserve">La început, costul global de calcul și calitatea predicțiilor dintr-o metodă bazată pe ansamblu, ambele cresc odată cu dimensiunea ansamblului. </w:t>
      </w:r>
    </w:p>
    <w:p w:rsidR="003001C6" w:rsidRPr="007F452C" w:rsidRDefault="00875902" w:rsidP="0029608E">
      <w:pPr>
        <w:pStyle w:val="ListParagraph"/>
        <w:spacing w:after="120"/>
        <w:ind w:left="0"/>
        <w:jc w:val="both"/>
        <w:rPr>
          <w:rFonts w:ascii="Arial" w:hAnsi="Arial" w:cs="Arial"/>
          <w:sz w:val="20"/>
          <w:szCs w:val="20"/>
          <w:lang w:val="ro-RO"/>
        </w:rPr>
      </w:pPr>
      <w:r w:rsidRPr="007F452C">
        <w:rPr>
          <w:rFonts w:ascii="Arial" w:hAnsi="Arial" w:cs="Arial"/>
          <w:sz w:val="20"/>
          <w:szCs w:val="20"/>
          <w:lang w:val="ro-RO"/>
        </w:rPr>
        <w:t>Pentru a atenua erorile de eșantionare datorită dimensiunii moderate a ansamblului, o anumită formă de localizare (Houtekamer și Mitchell, 1998) este aplicată în mod obișnuit la asimilarea datelor.</w:t>
      </w:r>
    </w:p>
    <w:p w:rsidR="003001C6" w:rsidRPr="007F452C" w:rsidRDefault="00795E7F" w:rsidP="003001C6">
      <w:pPr>
        <w:pStyle w:val="Heading2"/>
        <w:rPr>
          <w:rFonts w:ascii="Arial" w:hAnsi="Arial" w:cs="Arial"/>
          <w:sz w:val="20"/>
        </w:rPr>
      </w:pPr>
      <w:bookmarkStart w:id="32" w:name="_Toc26091237"/>
      <w:r w:rsidRPr="007F452C">
        <w:rPr>
          <w:rFonts w:ascii="Arial" w:hAnsi="Arial" w:cs="Arial"/>
          <w:sz w:val="20"/>
        </w:rPr>
        <w:t xml:space="preserve">Experienta industriala </w:t>
      </w:r>
      <w:r w:rsidR="003001C6" w:rsidRPr="007F452C">
        <w:rPr>
          <w:rFonts w:ascii="Arial" w:hAnsi="Arial" w:cs="Arial"/>
          <w:sz w:val="20"/>
        </w:rPr>
        <w:t>in sisteme CCS</w:t>
      </w:r>
      <w:bookmarkEnd w:id="32"/>
    </w:p>
    <w:p w:rsidR="006368A8"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Industria are zeci de ani de experiență în captarea, transportul și </w:t>
      </w:r>
      <w:r w:rsidR="00877282" w:rsidRPr="007F452C">
        <w:rPr>
          <w:rStyle w:val="tlid-translation"/>
          <w:rFonts w:ascii="Arial" w:hAnsi="Arial" w:cs="Arial"/>
          <w:sz w:val="20"/>
          <w:szCs w:val="20"/>
          <w:lang w:val="ro-RO"/>
        </w:rPr>
        <w:t>injectarea</w:t>
      </w:r>
      <w:r w:rsidRPr="007F452C">
        <w:rPr>
          <w:rStyle w:val="tlid-translation"/>
          <w:rFonts w:ascii="Arial" w:hAnsi="Arial" w:cs="Arial"/>
          <w:sz w:val="20"/>
          <w:szCs w:val="20"/>
          <w:lang w:val="ro-RO"/>
        </w:rPr>
        <w:t xml:space="preserve"> dioxidului de carbon (CO2) în subteran, precum și experiență în înțelegerea și monitorizarea comportamentului dioxidului de carbon depozitat. </w:t>
      </w:r>
    </w:p>
    <w:p w:rsidR="008478C1"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Siturile de depozitare sunt foarte atent selectate în zonele în care formațiunile de rocă vor absorbi cu siguranță dioxidul de carbon adânc sub fundul mării. </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Există un cadru legal puternic, în conformitate cu Directiva europeană CCS, pentru a asigura stocarea geologică sigură a dioxidului de carbon. </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Industria este acoperită de reglementări naționale și internaționale stricte pentru a asigura sănătatea și siguranța și protecția mediului, iar standardele internaționale pentru CCS sunt elaborate de Organizația Internațională pentru Standardizare (ISO).</w:t>
      </w:r>
    </w:p>
    <w:p w:rsidR="007A19B7"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Dioxidul de carbon este un gaz natural și milioane de tone de dioxid de carbon sunt transportate în siguranță în fiecare an în întreaga lume, de exemplu în industria băuturilor răcoritoare. </w:t>
      </w:r>
    </w:p>
    <w:p w:rsidR="00D8014F" w:rsidRPr="007F452C" w:rsidRDefault="00D8014F"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Reglementările privind stocarea CO2 vor impune ca operațiunile de stocare să fie monitorizate riguros din mai multe motive, inclusiv:</w:t>
      </w:r>
    </w:p>
    <w:p w:rsidR="00D8014F" w:rsidRPr="007F452C" w:rsidRDefault="00D8014F" w:rsidP="00D8014F">
      <w:pPr>
        <w:pStyle w:val="ListParagraph"/>
        <w:numPr>
          <w:ilvl w:val="0"/>
          <w:numId w:val="49"/>
        </w:numPr>
        <w:spacing w:after="120"/>
        <w:jc w:val="both"/>
        <w:rPr>
          <w:rFonts w:ascii="Arial" w:hAnsi="Arial" w:cs="Arial"/>
          <w:sz w:val="20"/>
          <w:szCs w:val="20"/>
          <w:lang w:val="ro-RO"/>
        </w:rPr>
      </w:pPr>
      <w:r w:rsidRPr="007F452C">
        <w:rPr>
          <w:rStyle w:val="tlid-translation"/>
          <w:rFonts w:ascii="Arial" w:hAnsi="Arial" w:cs="Arial"/>
          <w:sz w:val="20"/>
          <w:szCs w:val="20"/>
          <w:lang w:val="ro-RO"/>
        </w:rPr>
        <w:t>verificarea cantității și compoziției de CO2 introduse în depozitarea subterană</w:t>
      </w:r>
    </w:p>
    <w:p w:rsidR="00D8014F" w:rsidRPr="007F452C" w:rsidRDefault="00D8014F" w:rsidP="00D8014F">
      <w:pPr>
        <w:pStyle w:val="ListParagraph"/>
        <w:numPr>
          <w:ilvl w:val="0"/>
          <w:numId w:val="49"/>
        </w:numPr>
        <w:spacing w:after="120"/>
        <w:jc w:val="both"/>
        <w:rPr>
          <w:rFonts w:ascii="Arial" w:hAnsi="Arial" w:cs="Arial"/>
          <w:sz w:val="20"/>
          <w:szCs w:val="20"/>
          <w:lang w:val="ro-RO"/>
        </w:rPr>
      </w:pPr>
      <w:r w:rsidRPr="007F452C">
        <w:rPr>
          <w:rStyle w:val="tlid-translation"/>
          <w:rFonts w:ascii="Arial" w:hAnsi="Arial" w:cs="Arial"/>
          <w:sz w:val="20"/>
          <w:szCs w:val="20"/>
          <w:lang w:val="ro-RO"/>
        </w:rPr>
        <w:t>înțelegerea modului în care se comportă CO2 în subteran</w:t>
      </w:r>
    </w:p>
    <w:p w:rsidR="00D8014F" w:rsidRPr="007F452C" w:rsidRDefault="00D8014F" w:rsidP="00D8014F">
      <w:pPr>
        <w:pStyle w:val="ListParagraph"/>
        <w:numPr>
          <w:ilvl w:val="0"/>
          <w:numId w:val="49"/>
        </w:numPr>
        <w:spacing w:after="120"/>
        <w:jc w:val="both"/>
        <w:rPr>
          <w:rFonts w:ascii="Arial" w:hAnsi="Arial" w:cs="Arial"/>
          <w:sz w:val="20"/>
          <w:szCs w:val="20"/>
          <w:lang w:val="ro-RO"/>
        </w:rPr>
      </w:pPr>
      <w:r w:rsidRPr="007F452C">
        <w:rPr>
          <w:rStyle w:val="tlid-translation"/>
          <w:rFonts w:ascii="Arial" w:hAnsi="Arial" w:cs="Arial"/>
          <w:sz w:val="20"/>
          <w:szCs w:val="20"/>
          <w:lang w:val="ro-RO"/>
        </w:rPr>
        <w:t>furnizarea de avertizari timpurii dacă exploatarea nu functioneaza corect</w:t>
      </w:r>
    </w:p>
    <w:p w:rsidR="00D8014F" w:rsidRPr="007F452C" w:rsidRDefault="00D8014F" w:rsidP="00D8014F">
      <w:pPr>
        <w:pStyle w:val="ListParagraph"/>
        <w:numPr>
          <w:ilvl w:val="0"/>
          <w:numId w:val="49"/>
        </w:numPr>
        <w:spacing w:after="120"/>
        <w:jc w:val="both"/>
        <w:rPr>
          <w:rFonts w:ascii="Arial" w:hAnsi="Arial" w:cs="Arial"/>
          <w:sz w:val="20"/>
          <w:szCs w:val="20"/>
          <w:lang w:val="ro-RO"/>
        </w:rPr>
      </w:pPr>
      <w:r w:rsidRPr="007F452C">
        <w:rPr>
          <w:rStyle w:val="tlid-translation"/>
          <w:rFonts w:ascii="Arial" w:hAnsi="Arial" w:cs="Arial"/>
          <w:sz w:val="20"/>
          <w:szCs w:val="20"/>
          <w:lang w:val="ro-RO"/>
        </w:rPr>
        <w:t>asigurarea integrității stocării pe termen lung</w:t>
      </w:r>
      <w:r w:rsidRPr="007F452C">
        <w:rPr>
          <w:rFonts w:ascii="Arial" w:hAnsi="Arial" w:cs="Arial"/>
          <w:sz w:val="20"/>
          <w:szCs w:val="20"/>
          <w:lang w:val="ro-RO"/>
        </w:rPr>
        <w:t xml:space="preserve"> </w:t>
      </w:r>
    </w:p>
    <w:p w:rsidR="00D8014F" w:rsidRPr="007F452C" w:rsidRDefault="00D8014F" w:rsidP="00D8014F">
      <w:pPr>
        <w:pStyle w:val="ListParagraph"/>
        <w:numPr>
          <w:ilvl w:val="0"/>
          <w:numId w:val="49"/>
        </w:numPr>
        <w:spacing w:after="120"/>
        <w:jc w:val="both"/>
        <w:rPr>
          <w:rStyle w:val="tlid-translation"/>
          <w:rFonts w:ascii="Arial" w:hAnsi="Arial" w:cs="Arial"/>
          <w:sz w:val="20"/>
          <w:szCs w:val="20"/>
          <w:lang w:val="ro-RO"/>
        </w:rPr>
      </w:pPr>
      <w:r w:rsidRPr="007F452C">
        <w:rPr>
          <w:rStyle w:val="tlid-translation"/>
          <w:rFonts w:ascii="Arial" w:hAnsi="Arial" w:cs="Arial"/>
          <w:sz w:val="20"/>
          <w:szCs w:val="20"/>
          <w:lang w:val="ro-RO"/>
        </w:rPr>
        <w:t>măsurarea oricaror scurgeri care ar putea apărea</w:t>
      </w:r>
    </w:p>
    <w:p w:rsidR="00D8014F" w:rsidRPr="007F452C" w:rsidRDefault="00D8014F"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O evaluare a conformitatii site-ului de stocare va fi inclusă în strategia de supraveghere de bază, denumită „caracterizarea site-ului”. Când a început injecția, sondajele pentru monitorizare se vor repeta la intervale de timp specificate pentru a construi imagini „time-lapse” ale proprietăților site-ului.</w:t>
      </w:r>
    </w:p>
    <w:p w:rsidR="00D8014F" w:rsidRPr="007F452C" w:rsidRDefault="00D8014F"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Rezultatele și măsurătorile din sondajele de monitorizare în intervalul de timp pot fi apoi comparate cu sondajul de bază pentru a crea o imagine despre cum evoluează lucrurile în timp. Locul de depozitare va trebui monitorizat pe toată durata fazei de injecție și pentru o perioadă de timp după ce injecția a încetat (monitorizarea post-injecție) pentru a vă asigura că sistemul se comportă așa cum s-a prevăzut și probabil că va continua să facă acest lucru în viitor.</w:t>
      </w:r>
    </w:p>
    <w:p w:rsidR="00D8014F" w:rsidRPr="007F452C" w:rsidRDefault="00D8014F"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O gamă largă de instrumente și tehnologii este disponibilă pentru a monitoriza site-urile de stocare a CO2 într-o serie de locații atât on-shore, cât și offshore. </w:t>
      </w:r>
    </w:p>
    <w:p w:rsidR="00D8014F" w:rsidRPr="007F452C" w:rsidRDefault="00D8014F" w:rsidP="000B744D">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Monitorizarea focalizată poate fi efectuată de la suprafață (de exemplu, seismice sau gravimetrice de suprafață) sau de la foraje (de exemplu, înregistrarea puțurilor, măsurarea presiunii / temperaturii) și are ca scop identificarea și caracterizarea modificărilor care apar în rezervorul de depozitare pe măsură ce injecția se realizează, inclusiv circulația CO2 în rezervorul de depozitare și în împrejurimile sale imediate. Sistemele de monitorizare profundă vor da, de asemenea, avertizare în timp ce CO2 va migra la adâncimi mai mici.</w:t>
      </w:r>
    </w:p>
    <w:p w:rsidR="000B744D" w:rsidRPr="007F452C" w:rsidRDefault="000B744D" w:rsidP="000B744D">
      <w:pPr>
        <w:pStyle w:val="ListParagraph"/>
        <w:spacing w:after="120"/>
        <w:ind w:left="0"/>
        <w:jc w:val="both"/>
        <w:rPr>
          <w:rFonts w:ascii="Arial" w:hAnsi="Arial" w:cs="Arial"/>
          <w:sz w:val="20"/>
          <w:szCs w:val="20"/>
        </w:rPr>
      </w:pPr>
      <w:r w:rsidRPr="007F452C">
        <w:rPr>
          <w:rFonts w:ascii="Arial" w:hAnsi="Arial" w:cs="Arial"/>
          <w:sz w:val="20"/>
          <w:szCs w:val="20"/>
        </w:rPr>
        <w:t xml:space="preserve">Sistemele SCADA (Supervisory Control and Data Acquisition), expertiza SEDONa, Romania,  reprezinta tehnologia care oferă operatorului posibilitate de a primi informaţii de la echipamente situate la distanţă, de a monitoriza parametrii distribuiti şi de a transmite un set de instrucţiuni către echipamentea. </w:t>
      </w:r>
    </w:p>
    <w:p w:rsidR="000B744D" w:rsidRPr="007F452C" w:rsidRDefault="000B744D" w:rsidP="000B744D">
      <w:pPr>
        <w:pStyle w:val="ListParagraph"/>
        <w:spacing w:after="120"/>
        <w:ind w:left="0"/>
        <w:jc w:val="both"/>
        <w:rPr>
          <w:rStyle w:val="tlid-translation"/>
          <w:rFonts w:ascii="Arial" w:hAnsi="Arial" w:cs="Arial"/>
          <w:sz w:val="20"/>
          <w:szCs w:val="20"/>
          <w:lang w:val="ro-RO"/>
        </w:rPr>
      </w:pPr>
      <w:r w:rsidRPr="007F452C">
        <w:rPr>
          <w:rFonts w:ascii="Arial" w:hAnsi="Arial" w:cs="Arial"/>
          <w:sz w:val="20"/>
          <w:szCs w:val="20"/>
        </w:rPr>
        <w:lastRenderedPageBreak/>
        <w:t xml:space="preserve">SCADA </w:t>
      </w:r>
      <w:proofErr w:type="gramStart"/>
      <w:r w:rsidRPr="007F452C">
        <w:rPr>
          <w:rFonts w:ascii="Arial" w:hAnsi="Arial" w:cs="Arial"/>
          <w:sz w:val="20"/>
          <w:szCs w:val="20"/>
        </w:rPr>
        <w:t>este</w:t>
      </w:r>
      <w:proofErr w:type="gramEnd"/>
      <w:r w:rsidRPr="007F452C">
        <w:rPr>
          <w:rFonts w:ascii="Arial" w:hAnsi="Arial" w:cs="Arial"/>
          <w:sz w:val="20"/>
          <w:szCs w:val="20"/>
        </w:rPr>
        <w:t xml:space="preserve"> un sistem bidirecţional care permite nu numai monitorizarea unei instalaţii ci şi efectuarea de comenzi, a unei acţiuni asupra acesteia. Sistemul deschis si ierarhizat, dispune de posibilităţi care permit implementarea aplicaţiilor astfel ca: -</w:t>
      </w:r>
      <w:proofErr w:type="gramStart"/>
      <w:r w:rsidRPr="007F452C">
        <w:rPr>
          <w:rFonts w:ascii="Arial" w:hAnsi="Arial" w:cs="Arial"/>
          <w:sz w:val="20"/>
          <w:szCs w:val="20"/>
        </w:rPr>
        <w:t>să</w:t>
      </w:r>
      <w:proofErr w:type="gramEnd"/>
      <w:r w:rsidRPr="007F452C">
        <w:rPr>
          <w:rFonts w:ascii="Arial" w:hAnsi="Arial" w:cs="Arial"/>
          <w:sz w:val="20"/>
          <w:szCs w:val="20"/>
        </w:rPr>
        <w:t xml:space="preserve"> poată fi executate pe sisteme provenind de la mai mulţi furnizori; -să poată conlucra cu alte aplicaţii realizate pe sisteme deschise (inclusiv la distanţă); -să prezinte un stil consistent de interacţiune cu utilizatorul.</w:t>
      </w:r>
    </w:p>
    <w:p w:rsidR="00D8014F" w:rsidRPr="007F452C" w:rsidRDefault="00D8014F"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Sistemele de supraveghere superficială sunt concepute pentru a detecta și măsura CO2 care a migrat în formațiuni geologice superficiale, în sol sau în fundul mării sau s-a scurs în atmosferă sau în apa de mare. Metodele focalizate ușoare pot fi transmise prin aer (de ex. Interferometrie prin satelit), desfășurate la suprafață (de exemplu, măsurători atmosferice și flux de suprafață) sau pot fi rulate din puțuri puțin adânci (de exemplu, prelevare geochimică).</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S.U.A. </w:t>
      </w:r>
      <w:r w:rsidR="007A19B7" w:rsidRPr="007F452C">
        <w:rPr>
          <w:rStyle w:val="tlid-translation"/>
          <w:rFonts w:ascii="Arial" w:hAnsi="Arial" w:cs="Arial"/>
          <w:sz w:val="20"/>
          <w:szCs w:val="20"/>
          <w:lang w:val="ro-RO"/>
        </w:rPr>
        <w:t>au</w:t>
      </w:r>
      <w:r w:rsidRPr="007F452C">
        <w:rPr>
          <w:rStyle w:val="tlid-translation"/>
          <w:rFonts w:ascii="Arial" w:hAnsi="Arial" w:cs="Arial"/>
          <w:sz w:val="20"/>
          <w:szCs w:val="20"/>
          <w:lang w:val="ro-RO"/>
        </w:rPr>
        <w:t xml:space="preserve"> o experiență de câteva decenii în transportul și injectarea dioxidului de carbon pentru o recuperare îmbunătățită a uleiului - prima conductă de dioxid de carbon a fost pusă în funcțiune în 1972 și acum există peste 6000 km de conducte de dioxid de carbon în S</w:t>
      </w:r>
      <w:r w:rsidR="007A19B7" w:rsidRPr="007F452C">
        <w:rPr>
          <w:rStyle w:val="tlid-translation"/>
          <w:rFonts w:ascii="Arial" w:hAnsi="Arial" w:cs="Arial"/>
          <w:sz w:val="20"/>
          <w:szCs w:val="20"/>
          <w:lang w:val="ro-RO"/>
        </w:rPr>
        <w:t>tatele Unite ale Amer</w:t>
      </w:r>
      <w:r w:rsidR="007570EB" w:rsidRPr="007F452C">
        <w:rPr>
          <w:rStyle w:val="tlid-translation"/>
          <w:rFonts w:ascii="Arial" w:hAnsi="Arial" w:cs="Arial"/>
          <w:sz w:val="20"/>
          <w:szCs w:val="20"/>
          <w:lang w:val="ro-RO"/>
        </w:rPr>
        <w:t>i</w:t>
      </w:r>
      <w:r w:rsidR="007A19B7" w:rsidRPr="007F452C">
        <w:rPr>
          <w:rStyle w:val="tlid-translation"/>
          <w:rFonts w:ascii="Arial" w:hAnsi="Arial" w:cs="Arial"/>
          <w:sz w:val="20"/>
          <w:szCs w:val="20"/>
          <w:lang w:val="ro-RO"/>
        </w:rPr>
        <w:t>cii</w:t>
      </w:r>
      <w:r w:rsidRPr="007F452C">
        <w:rPr>
          <w:rStyle w:val="tlid-translation"/>
          <w:rFonts w:ascii="Arial" w:hAnsi="Arial" w:cs="Arial"/>
          <w:sz w:val="20"/>
          <w:szCs w:val="20"/>
          <w:lang w:val="ro-RO"/>
        </w:rPr>
        <w:t>.</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Toate procesele cheie ale CCS au fost dovedite de-a lungul mai multor ani și în prezent există patru proiecte CCS la scară industrială care operează la nivel mondial care stochează aproximativ 5 milioane de tone de dioxid de carbon în fiecare an. </w:t>
      </w:r>
    </w:p>
    <w:p w:rsidR="006368A8"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În martie 2012, Institutul Global CCS a identificat 75 de proiecte integrate la scară largă la nivel global, inclusiv 15 proiecte aflate în funcțiune sau în construcție, care sunt de așteptat să capteze 35,4 milioane de tone pe an. </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Ceea ce trebuie să se întâmple acum este integrarea CCS în proiecte la centralele comerciale și la alte procese majore de emisie a dioxidului de carbon pentru a conduce la reducerile cu adevărat profunde ale emisiilor necesare.</w:t>
      </w:r>
    </w:p>
    <w:p w:rsidR="003001C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Marea Britanie beneficiază de experiența sa cu operațiunile de petrol și gaze din Marea Nordului, ceea ce înseamnă că</w:t>
      </w:r>
      <w:r w:rsidR="00222710" w:rsidRPr="007F452C">
        <w:rPr>
          <w:rStyle w:val="tlid-translation"/>
          <w:rFonts w:ascii="Arial" w:hAnsi="Arial" w:cs="Arial"/>
          <w:sz w:val="20"/>
          <w:szCs w:val="20"/>
          <w:lang w:val="ro-RO"/>
        </w:rPr>
        <w:t>, Consortiul DigiMon format, are</w:t>
      </w:r>
      <w:r w:rsidRPr="007F452C">
        <w:rPr>
          <w:rStyle w:val="tlid-translation"/>
          <w:rFonts w:ascii="Arial" w:hAnsi="Arial" w:cs="Arial"/>
          <w:sz w:val="20"/>
          <w:szCs w:val="20"/>
          <w:lang w:val="ro-RO"/>
        </w:rPr>
        <w:t xml:space="preserve"> deja multe dintre abilitățile necesare pentru implementarea proiectelor CCS. </w:t>
      </w:r>
    </w:p>
    <w:p w:rsidR="006368A8"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Mai mult, prima competiție demonstrativă CCS din Marea Britanie a oferit cunoștințe </w:t>
      </w:r>
      <w:r w:rsidR="00222710" w:rsidRPr="007F452C">
        <w:rPr>
          <w:rStyle w:val="tlid-translation"/>
          <w:rFonts w:ascii="Arial" w:hAnsi="Arial" w:cs="Arial"/>
          <w:sz w:val="20"/>
          <w:szCs w:val="20"/>
          <w:lang w:val="ro-RO"/>
        </w:rPr>
        <w:t xml:space="preserve">practice, utile, </w:t>
      </w:r>
      <w:r w:rsidRPr="007F452C">
        <w:rPr>
          <w:rStyle w:val="tlid-translation"/>
          <w:rFonts w:ascii="Arial" w:hAnsi="Arial" w:cs="Arial"/>
          <w:sz w:val="20"/>
          <w:szCs w:val="20"/>
          <w:lang w:val="ro-RO"/>
        </w:rPr>
        <w:t>prin studiile FEED (Front End Engineering Design), produse de E.ON și Scottish</w:t>
      </w:r>
      <w:r w:rsidR="008478C1" w:rsidRPr="007F452C">
        <w:rPr>
          <w:rStyle w:val="tlid-translation"/>
          <w:rFonts w:ascii="Arial" w:hAnsi="Arial" w:cs="Arial"/>
          <w:sz w:val="20"/>
          <w:szCs w:val="20"/>
          <w:lang w:val="ro-RO"/>
        </w:rPr>
        <w:t xml:space="preserve"> </w:t>
      </w:r>
      <w:r w:rsidRPr="007F452C">
        <w:rPr>
          <w:rStyle w:val="tlid-translation"/>
          <w:rFonts w:ascii="Arial" w:hAnsi="Arial" w:cs="Arial"/>
          <w:sz w:val="20"/>
          <w:szCs w:val="20"/>
          <w:lang w:val="ro-RO"/>
        </w:rPr>
        <w:t xml:space="preserve">Power Consortium. </w:t>
      </w:r>
    </w:p>
    <w:p w:rsidR="008478C1"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 xml:space="preserve">La 3 aprilie 2012, Guvernul Regatului Unit a lansat noul program de comercializare CCS și a foii de parcurs CCS din Marea Britanie pentru a sprijini experiența practică în proiectarea, construcția și operarea CCS. </w:t>
      </w:r>
    </w:p>
    <w:p w:rsidR="009E7326" w:rsidRPr="007F452C" w:rsidRDefault="003001C6" w:rsidP="0029608E">
      <w:pPr>
        <w:pStyle w:val="ListParagraph"/>
        <w:spacing w:after="120"/>
        <w:ind w:left="0"/>
        <w:jc w:val="both"/>
        <w:rPr>
          <w:rStyle w:val="tlid-translation"/>
          <w:rFonts w:ascii="Arial" w:hAnsi="Arial" w:cs="Arial"/>
          <w:sz w:val="20"/>
          <w:szCs w:val="20"/>
          <w:lang w:val="ro-RO"/>
        </w:rPr>
      </w:pPr>
      <w:r w:rsidRPr="007F452C">
        <w:rPr>
          <w:rStyle w:val="tlid-translation"/>
          <w:rFonts w:ascii="Arial" w:hAnsi="Arial" w:cs="Arial"/>
          <w:sz w:val="20"/>
          <w:szCs w:val="20"/>
          <w:lang w:val="ro-RO"/>
        </w:rPr>
        <w:t>Mai multe informații despre studiile FEED și lansarea Programului de comercializare pot fi găsite pe site-ul Departamentului Energiei și Schimbărilor Climatice.</w:t>
      </w:r>
    </w:p>
    <w:p w:rsidR="00FA262E" w:rsidRPr="007F452C" w:rsidRDefault="00FA262E" w:rsidP="0029608E">
      <w:pPr>
        <w:pStyle w:val="ListParagraph"/>
        <w:spacing w:after="120"/>
        <w:ind w:left="0"/>
        <w:jc w:val="both"/>
        <w:rPr>
          <w:rStyle w:val="tlid-translation"/>
          <w:rFonts w:ascii="Arial" w:hAnsi="Arial" w:cs="Arial"/>
          <w:sz w:val="20"/>
          <w:szCs w:val="20"/>
          <w:lang w:val="ro-RO"/>
        </w:rPr>
      </w:pPr>
    </w:p>
    <w:p w:rsidR="00EE1D94" w:rsidRPr="007F452C" w:rsidRDefault="00EE1D94" w:rsidP="00C03001">
      <w:pPr>
        <w:pStyle w:val="Heading1"/>
        <w:spacing w:before="480"/>
        <w:ind w:left="1138" w:hanging="1138"/>
        <w:rPr>
          <w:rFonts w:ascii="Arial" w:hAnsi="Arial" w:cs="Arial"/>
          <w:sz w:val="20"/>
        </w:rPr>
      </w:pPr>
      <w:bookmarkStart w:id="33" w:name="_Toc26091238"/>
      <w:r w:rsidRPr="007F452C">
        <w:rPr>
          <w:rFonts w:ascii="Arial" w:hAnsi="Arial" w:cs="Arial"/>
          <w:sz w:val="20"/>
        </w:rPr>
        <w:t>Refer</w:t>
      </w:r>
      <w:r w:rsidR="00EA2143" w:rsidRPr="007F452C">
        <w:rPr>
          <w:rFonts w:ascii="Arial" w:hAnsi="Arial" w:cs="Arial"/>
          <w:sz w:val="20"/>
        </w:rPr>
        <w:t>in</w:t>
      </w:r>
      <w:r w:rsidR="00222710" w:rsidRPr="007F452C">
        <w:rPr>
          <w:rFonts w:ascii="Arial" w:hAnsi="Arial" w:cs="Arial"/>
          <w:sz w:val="20"/>
        </w:rPr>
        <w:t>ț</w:t>
      </w:r>
      <w:r w:rsidR="00EA2143" w:rsidRPr="007F452C">
        <w:rPr>
          <w:rFonts w:ascii="Arial" w:hAnsi="Arial" w:cs="Arial"/>
          <w:sz w:val="20"/>
        </w:rPr>
        <w:t>e</w:t>
      </w:r>
      <w:bookmarkEnd w:id="33"/>
    </w:p>
    <w:p w:rsidR="00EE1D94" w:rsidRPr="007F452C" w:rsidRDefault="00EE1D94" w:rsidP="00E417FD">
      <w:pPr>
        <w:spacing w:after="120" w:line="276" w:lineRule="auto"/>
        <w:ind w:left="288" w:hanging="288"/>
        <w:rPr>
          <w:rFonts w:ascii="Arial" w:hAnsi="Arial" w:cs="Arial"/>
          <w:sz w:val="20"/>
          <w:szCs w:val="20"/>
          <w:lang w:val="nb-NO"/>
        </w:rPr>
      </w:pPr>
      <w:proofErr w:type="gramStart"/>
      <w:r w:rsidRPr="007F452C">
        <w:rPr>
          <w:rFonts w:ascii="Arial" w:hAnsi="Arial" w:cs="Arial"/>
          <w:sz w:val="20"/>
          <w:szCs w:val="20"/>
        </w:rPr>
        <w:t>Arts, R.J., Zhang, X., Verdel, A.R., Santonico, D., Meekes, J.A.C., Noorlandt, R.P., Paap, B.F., Vandeweijer, V.P. 2013.</w:t>
      </w:r>
      <w:proofErr w:type="gramEnd"/>
      <w:r w:rsidRPr="007F452C">
        <w:rPr>
          <w:rFonts w:ascii="Arial" w:hAnsi="Arial" w:cs="Arial"/>
          <w:sz w:val="20"/>
          <w:szCs w:val="20"/>
        </w:rPr>
        <w:t xml:space="preserve"> </w:t>
      </w:r>
      <w:proofErr w:type="gramStart"/>
      <w:r w:rsidRPr="007F452C">
        <w:rPr>
          <w:rFonts w:ascii="Arial" w:hAnsi="Arial" w:cs="Arial"/>
          <w:sz w:val="20"/>
          <w:szCs w:val="20"/>
        </w:rPr>
        <w:t>Experiences with a permanently installed seismic monitoring array at the CO2 storage site at Ketzin Germany- A status overview.</w:t>
      </w:r>
      <w:proofErr w:type="gramEnd"/>
      <w:r w:rsidRPr="007F452C">
        <w:rPr>
          <w:rFonts w:ascii="Arial" w:hAnsi="Arial" w:cs="Arial"/>
          <w:sz w:val="20"/>
          <w:szCs w:val="20"/>
        </w:rPr>
        <w:t xml:space="preserve"> </w:t>
      </w:r>
      <w:r w:rsidRPr="007F452C">
        <w:rPr>
          <w:rFonts w:ascii="Arial" w:hAnsi="Arial" w:cs="Arial"/>
          <w:sz w:val="20"/>
          <w:szCs w:val="20"/>
          <w:lang w:val="nb-NO"/>
        </w:rPr>
        <w:t>Energy Procedia, Vol. 37, 4015-4023.</w:t>
      </w:r>
    </w:p>
    <w:p w:rsidR="00EE1D94" w:rsidRPr="007F452C" w:rsidRDefault="00EE1D94" w:rsidP="00E417FD">
      <w:pPr>
        <w:spacing w:after="120" w:line="276" w:lineRule="auto"/>
        <w:ind w:left="288" w:hanging="288"/>
        <w:rPr>
          <w:rFonts w:ascii="Arial" w:hAnsi="Arial" w:cs="Arial"/>
          <w:sz w:val="20"/>
          <w:szCs w:val="20"/>
        </w:rPr>
      </w:pPr>
      <w:r w:rsidRPr="007F452C">
        <w:rPr>
          <w:rFonts w:ascii="Arial" w:hAnsi="Arial" w:cs="Arial"/>
          <w:sz w:val="20"/>
          <w:szCs w:val="20"/>
        </w:rPr>
        <w:t xml:space="preserve">Boullenger, B. Verdel, A.R., Paap, B.F., Thorbecke, J., Draganov, D. 2015. </w:t>
      </w:r>
      <w:proofErr w:type="gramStart"/>
      <w:r w:rsidRPr="007F452C">
        <w:rPr>
          <w:rFonts w:ascii="Arial" w:hAnsi="Arial" w:cs="Arial"/>
          <w:sz w:val="20"/>
          <w:szCs w:val="20"/>
        </w:rPr>
        <w:t xml:space="preserve">Studying CO2 storage with ambient-noise seismic interferometry: A combined numerical feasibility study and field-data example for Ketzin, Germany, </w:t>
      </w:r>
      <w:r w:rsidRPr="007F452C">
        <w:rPr>
          <w:rFonts w:ascii="Arial" w:hAnsi="Arial" w:cs="Arial"/>
          <w:iCs/>
          <w:sz w:val="20"/>
          <w:szCs w:val="20"/>
        </w:rPr>
        <w:t>Geophysics</w:t>
      </w:r>
      <w:r w:rsidRPr="007F452C">
        <w:rPr>
          <w:rFonts w:ascii="Arial" w:hAnsi="Arial" w:cs="Arial"/>
          <w:sz w:val="20"/>
          <w:szCs w:val="20"/>
        </w:rPr>
        <w:t>, vol. 80, 1, 1-13.</w:t>
      </w:r>
      <w:proofErr w:type="gramEnd"/>
    </w:p>
    <w:p w:rsidR="00EE1D94" w:rsidRPr="007F452C" w:rsidRDefault="00EE1D94" w:rsidP="00E417FD">
      <w:pPr>
        <w:spacing w:after="120" w:line="276" w:lineRule="auto"/>
        <w:ind w:left="288" w:hanging="288"/>
        <w:rPr>
          <w:rFonts w:ascii="Arial" w:hAnsi="Arial" w:cs="Arial"/>
          <w:sz w:val="20"/>
          <w:szCs w:val="20"/>
        </w:rPr>
      </w:pPr>
      <w:r w:rsidRPr="007F452C">
        <w:rPr>
          <w:rFonts w:ascii="Arial" w:hAnsi="Arial" w:cs="Arial"/>
          <w:sz w:val="20"/>
          <w:szCs w:val="20"/>
        </w:rPr>
        <w:t xml:space="preserve">Häusler, M., </w:t>
      </w:r>
      <w:r w:rsidRPr="007F452C">
        <w:rPr>
          <w:rFonts w:ascii="Arial" w:hAnsi="Arial" w:cs="Arial"/>
          <w:bCs/>
          <w:sz w:val="20"/>
          <w:szCs w:val="20"/>
        </w:rPr>
        <w:t>Schmelzbach, C.</w:t>
      </w:r>
      <w:proofErr w:type="gramStart"/>
      <w:r w:rsidRPr="007F452C">
        <w:rPr>
          <w:rFonts w:ascii="Arial" w:hAnsi="Arial" w:cs="Arial"/>
          <w:bCs/>
          <w:sz w:val="20"/>
          <w:szCs w:val="20"/>
        </w:rPr>
        <w:t>,</w:t>
      </w:r>
      <w:r w:rsidRPr="007F452C">
        <w:rPr>
          <w:rFonts w:ascii="Arial" w:hAnsi="Arial" w:cs="Arial"/>
          <w:sz w:val="20"/>
          <w:szCs w:val="20"/>
        </w:rPr>
        <w:t>Sollberger</w:t>
      </w:r>
      <w:proofErr w:type="gramEnd"/>
      <w:r w:rsidRPr="007F452C">
        <w:rPr>
          <w:rFonts w:ascii="Arial" w:hAnsi="Arial" w:cs="Arial"/>
          <w:sz w:val="20"/>
          <w:szCs w:val="20"/>
        </w:rPr>
        <w:t xml:space="preserve">, D. 2016. A new seismic vector source: the Galperin source, </w:t>
      </w:r>
      <w:r w:rsidRPr="007F452C">
        <w:rPr>
          <w:rFonts w:ascii="Arial" w:hAnsi="Arial" w:cs="Arial"/>
          <w:iCs/>
          <w:sz w:val="20"/>
          <w:szCs w:val="20"/>
        </w:rPr>
        <w:t>14</w:t>
      </w:r>
      <w:r w:rsidRPr="007F452C">
        <w:rPr>
          <w:rFonts w:ascii="Arial" w:hAnsi="Arial" w:cs="Arial"/>
          <w:sz w:val="20"/>
          <w:szCs w:val="20"/>
        </w:rPr>
        <w:t xml:space="preserve">th </w:t>
      </w:r>
      <w:r w:rsidRPr="007F452C">
        <w:rPr>
          <w:rFonts w:ascii="Arial" w:hAnsi="Arial" w:cs="Arial"/>
          <w:iCs/>
          <w:sz w:val="20"/>
          <w:szCs w:val="20"/>
        </w:rPr>
        <w:t>Swiss Geoscience Meeting 2016, Geneva</w:t>
      </w:r>
      <w:r w:rsidRPr="007F452C">
        <w:rPr>
          <w:rFonts w:ascii="Arial" w:hAnsi="Arial" w:cs="Arial"/>
          <w:sz w:val="20"/>
          <w:szCs w:val="20"/>
        </w:rPr>
        <w:t xml:space="preserve">. </w:t>
      </w:r>
    </w:p>
    <w:p w:rsidR="00EE1D94" w:rsidRPr="007F452C" w:rsidRDefault="00EE1D94" w:rsidP="00E417FD">
      <w:pPr>
        <w:spacing w:after="120" w:line="276" w:lineRule="auto"/>
        <w:ind w:left="288" w:hanging="288"/>
        <w:rPr>
          <w:rFonts w:ascii="Arial" w:hAnsi="Arial" w:cs="Arial"/>
          <w:sz w:val="20"/>
          <w:szCs w:val="20"/>
        </w:rPr>
      </w:pPr>
      <w:r w:rsidRPr="007F452C">
        <w:rPr>
          <w:rFonts w:ascii="Arial" w:hAnsi="Arial" w:cs="Arial"/>
          <w:sz w:val="20"/>
          <w:szCs w:val="20"/>
          <w:lang w:val="nl-NL"/>
        </w:rPr>
        <w:t xml:space="preserve">Jousset, P., Reinsch, T., Ryberg, T., Blanck, H., Clarke, A., Aghayev, R., Krawczyk, C. M. (2018). </w:t>
      </w:r>
      <w:r w:rsidRPr="007F452C">
        <w:rPr>
          <w:rFonts w:ascii="Arial" w:hAnsi="Arial" w:cs="Arial"/>
          <w:sz w:val="20"/>
          <w:szCs w:val="20"/>
        </w:rPr>
        <w:t xml:space="preserve">Dynamic strain determination using fibre-optic cables allows imaging of seismological and structural features. </w:t>
      </w:r>
      <w:proofErr w:type="gramStart"/>
      <w:r w:rsidRPr="007F452C">
        <w:rPr>
          <w:rFonts w:ascii="Arial" w:hAnsi="Arial" w:cs="Arial"/>
          <w:sz w:val="20"/>
          <w:szCs w:val="20"/>
        </w:rPr>
        <w:t>Nature Communications, 9(1), 2509.</w:t>
      </w:r>
      <w:proofErr w:type="gramEnd"/>
      <w:r w:rsidRPr="007F452C">
        <w:rPr>
          <w:rFonts w:ascii="Arial" w:hAnsi="Arial" w:cs="Arial"/>
          <w:sz w:val="20"/>
          <w:szCs w:val="20"/>
        </w:rPr>
        <w:t xml:space="preserve"> </w:t>
      </w:r>
      <w:proofErr w:type="gramStart"/>
      <w:r w:rsidRPr="007F452C">
        <w:rPr>
          <w:rFonts w:ascii="Arial" w:hAnsi="Arial" w:cs="Arial"/>
          <w:sz w:val="20"/>
          <w:szCs w:val="20"/>
        </w:rPr>
        <w:t>doi:</w:t>
      </w:r>
      <w:proofErr w:type="gramEnd"/>
      <w:r w:rsidRPr="007F452C">
        <w:rPr>
          <w:rFonts w:ascii="Arial" w:hAnsi="Arial" w:cs="Arial"/>
          <w:sz w:val="20"/>
          <w:szCs w:val="20"/>
        </w:rPr>
        <w:t>10.1038/s41467-018-04860-y</w:t>
      </w:r>
    </w:p>
    <w:p w:rsidR="00A47FED" w:rsidRPr="007F452C" w:rsidRDefault="00EE1D94" w:rsidP="00E417FD">
      <w:pPr>
        <w:pStyle w:val="ListParagraph"/>
        <w:spacing w:after="120"/>
        <w:ind w:left="288" w:hanging="288"/>
        <w:jc w:val="both"/>
        <w:rPr>
          <w:rFonts w:ascii="Arial" w:hAnsi="Arial" w:cs="Arial"/>
          <w:sz w:val="20"/>
          <w:szCs w:val="20"/>
        </w:rPr>
      </w:pPr>
      <w:r w:rsidRPr="007F452C">
        <w:rPr>
          <w:rFonts w:ascii="Arial" w:hAnsi="Arial" w:cs="Arial"/>
          <w:sz w:val="20"/>
          <w:szCs w:val="20"/>
        </w:rPr>
        <w:t>Lindgard, J.E., Bussat, S.</w:t>
      </w:r>
      <w:proofErr w:type="gramStart"/>
      <w:r w:rsidRPr="007F452C">
        <w:rPr>
          <w:rFonts w:ascii="Arial" w:hAnsi="Arial" w:cs="Arial"/>
          <w:sz w:val="20"/>
          <w:szCs w:val="20"/>
        </w:rPr>
        <w:t>,Matveeva</w:t>
      </w:r>
      <w:proofErr w:type="gramEnd"/>
      <w:r w:rsidRPr="007F452C">
        <w:rPr>
          <w:rFonts w:ascii="Arial" w:hAnsi="Arial" w:cs="Arial"/>
          <w:sz w:val="20"/>
          <w:szCs w:val="20"/>
        </w:rPr>
        <w:t xml:space="preserve">, T. 2015. </w:t>
      </w:r>
      <w:proofErr w:type="gramStart"/>
      <w:r w:rsidRPr="007F452C">
        <w:rPr>
          <w:rFonts w:ascii="Arial" w:hAnsi="Arial" w:cs="Arial"/>
          <w:sz w:val="20"/>
          <w:szCs w:val="20"/>
        </w:rPr>
        <w:t>Customized injection monitoring solution using PRM technology.</w:t>
      </w:r>
      <w:proofErr w:type="gramEnd"/>
      <w:r w:rsidRPr="007F452C">
        <w:rPr>
          <w:rFonts w:ascii="Arial" w:hAnsi="Arial" w:cs="Arial"/>
          <w:sz w:val="20"/>
          <w:szCs w:val="20"/>
        </w:rPr>
        <w:t xml:space="preserve"> </w:t>
      </w:r>
      <w:proofErr w:type="gramStart"/>
      <w:r w:rsidRPr="007F452C">
        <w:rPr>
          <w:rFonts w:ascii="Arial" w:hAnsi="Arial" w:cs="Arial"/>
          <w:sz w:val="20"/>
          <w:szCs w:val="20"/>
        </w:rPr>
        <w:t>In Third EAGE Workshop on Permanent Reservoir Monitoring.</w:t>
      </w:r>
      <w:proofErr w:type="gramEnd"/>
    </w:p>
    <w:p w:rsidR="00EE1D94" w:rsidRPr="007F452C" w:rsidRDefault="00EE1D94" w:rsidP="00E417FD">
      <w:pPr>
        <w:pStyle w:val="ListParagraph"/>
        <w:spacing w:after="120"/>
        <w:ind w:left="288" w:hanging="288"/>
        <w:jc w:val="both"/>
        <w:rPr>
          <w:rFonts w:ascii="Arial" w:hAnsi="Arial" w:cs="Arial"/>
          <w:sz w:val="20"/>
          <w:szCs w:val="20"/>
        </w:rPr>
      </w:pPr>
      <w:proofErr w:type="gramStart"/>
      <w:r w:rsidRPr="007F452C">
        <w:rPr>
          <w:rFonts w:ascii="Arial" w:hAnsi="Arial" w:cs="Arial"/>
          <w:sz w:val="20"/>
          <w:szCs w:val="20"/>
        </w:rPr>
        <w:lastRenderedPageBreak/>
        <w:t>Paap, B., Kraaijpoel, D., Bakker, M., Gharti, H.N. 2018.</w:t>
      </w:r>
      <w:proofErr w:type="gramEnd"/>
      <w:r w:rsidRPr="007F452C">
        <w:rPr>
          <w:rFonts w:ascii="Arial" w:hAnsi="Arial" w:cs="Arial"/>
          <w:sz w:val="20"/>
          <w:szCs w:val="20"/>
        </w:rPr>
        <w:t xml:space="preserve"> </w:t>
      </w:r>
      <w:proofErr w:type="gramStart"/>
      <w:r w:rsidRPr="007F452C">
        <w:rPr>
          <w:rFonts w:ascii="Arial" w:hAnsi="Arial" w:cs="Arial"/>
          <w:sz w:val="20"/>
          <w:szCs w:val="20"/>
        </w:rPr>
        <w:t>Wave propagation modelling of induced earthquakes at the Groningen gas production site.</w:t>
      </w:r>
      <w:proofErr w:type="gramEnd"/>
      <w:r w:rsidRPr="007F452C">
        <w:rPr>
          <w:rFonts w:ascii="Arial" w:hAnsi="Arial" w:cs="Arial"/>
          <w:sz w:val="20"/>
          <w:szCs w:val="20"/>
        </w:rPr>
        <w:t xml:space="preserve"> </w:t>
      </w:r>
      <w:r w:rsidRPr="007F452C">
        <w:rPr>
          <w:rFonts w:ascii="Arial" w:hAnsi="Arial" w:cs="Arial"/>
          <w:iCs/>
          <w:sz w:val="20"/>
          <w:szCs w:val="20"/>
          <w:lang w:val="nl-NL"/>
        </w:rPr>
        <w:t>Geoph.  Journ. Intern</w:t>
      </w:r>
      <w:r w:rsidRPr="007F452C">
        <w:rPr>
          <w:rFonts w:ascii="Arial" w:hAnsi="Arial" w:cs="Arial"/>
          <w:sz w:val="20"/>
          <w:szCs w:val="20"/>
          <w:lang w:val="nl-NL"/>
        </w:rPr>
        <w:t>, 214, 3.</w:t>
      </w:r>
    </w:p>
    <w:p w:rsidR="00EE1D94" w:rsidRPr="007F452C" w:rsidRDefault="00EE1D94" w:rsidP="00E417FD">
      <w:pPr>
        <w:spacing w:after="120" w:line="276" w:lineRule="auto"/>
        <w:ind w:left="288" w:hanging="288"/>
        <w:rPr>
          <w:rFonts w:ascii="Arial" w:hAnsi="Arial" w:cs="Arial"/>
          <w:sz w:val="20"/>
          <w:szCs w:val="20"/>
        </w:rPr>
      </w:pPr>
      <w:r w:rsidRPr="007F452C">
        <w:rPr>
          <w:rFonts w:ascii="Arial" w:hAnsi="Arial" w:cs="Arial"/>
          <w:bCs/>
          <w:sz w:val="20"/>
          <w:szCs w:val="20"/>
        </w:rPr>
        <w:t>Schmelzbach, C.</w:t>
      </w:r>
      <w:r w:rsidRPr="007F452C">
        <w:rPr>
          <w:rFonts w:ascii="Arial" w:hAnsi="Arial" w:cs="Arial"/>
          <w:sz w:val="20"/>
          <w:szCs w:val="20"/>
        </w:rPr>
        <w:t>, Sollberger, D., Van Renterghem, C., Häusler, M., Robertsson, J.O.A., Greenhalgh, S.A. 2016, Seismic spatial gradient and rotation measurements as new observables in land seismic exploration, Vol. 18, EGU2016-3787.</w:t>
      </w:r>
    </w:p>
    <w:p w:rsidR="00EE1D94" w:rsidRPr="007F452C" w:rsidRDefault="00EE1D94" w:rsidP="00E417FD">
      <w:pPr>
        <w:spacing w:after="120" w:line="276" w:lineRule="auto"/>
        <w:ind w:left="288" w:hanging="288"/>
        <w:rPr>
          <w:rFonts w:ascii="Arial" w:hAnsi="Arial" w:cs="Arial"/>
          <w:sz w:val="20"/>
          <w:szCs w:val="20"/>
        </w:rPr>
      </w:pPr>
      <w:r w:rsidRPr="007F452C">
        <w:rPr>
          <w:rFonts w:ascii="Arial" w:hAnsi="Arial" w:cs="Arial"/>
          <w:sz w:val="20"/>
          <w:szCs w:val="20"/>
        </w:rPr>
        <w:t>Vengal, R P., Strimannarayana, K., Shanker, M. Kishore, P.</w:t>
      </w:r>
      <w:r w:rsidR="00A47FED" w:rsidRPr="007F452C">
        <w:rPr>
          <w:rFonts w:ascii="Arial" w:hAnsi="Arial" w:cs="Arial"/>
          <w:sz w:val="20"/>
          <w:szCs w:val="20"/>
        </w:rPr>
        <w:t xml:space="preserve">, </w:t>
      </w:r>
      <w:r w:rsidRPr="007F452C">
        <w:rPr>
          <w:rFonts w:ascii="Arial" w:hAnsi="Arial" w:cs="Arial"/>
          <w:sz w:val="20"/>
          <w:szCs w:val="20"/>
        </w:rPr>
        <w:t>2014. Polymer Packaged Fibre Grating Pressure Sensor with Enhanced Sensitivty. Int. Journal of Optoelectronic Engineering 4, 1, 1-5.</w:t>
      </w:r>
    </w:p>
    <w:p w:rsidR="00D675F1" w:rsidRPr="007F452C" w:rsidRDefault="0035149E" w:rsidP="00E417FD">
      <w:pPr>
        <w:spacing w:after="120" w:line="276" w:lineRule="auto"/>
        <w:ind w:left="288" w:hanging="288"/>
        <w:rPr>
          <w:rFonts w:ascii="Arial" w:hAnsi="Arial" w:cs="Arial"/>
          <w:sz w:val="20"/>
          <w:szCs w:val="20"/>
        </w:rPr>
      </w:pPr>
      <w:r w:rsidRPr="007F452C">
        <w:rPr>
          <w:rFonts w:ascii="Arial" w:hAnsi="Arial" w:cs="Arial"/>
          <w:sz w:val="20"/>
          <w:szCs w:val="20"/>
          <w:lang w:val="nb-NO"/>
        </w:rPr>
        <w:t>Dinh, H.N., van der Baan, M., Landrø, M.</w:t>
      </w:r>
      <w:r w:rsidR="00A47FED" w:rsidRPr="007F452C">
        <w:rPr>
          <w:rFonts w:ascii="Arial" w:hAnsi="Arial" w:cs="Arial"/>
          <w:sz w:val="20"/>
          <w:szCs w:val="20"/>
          <w:lang w:val="nb-NO"/>
        </w:rPr>
        <w:t xml:space="preserve">, </w:t>
      </w:r>
      <w:r w:rsidRPr="007F452C">
        <w:rPr>
          <w:rFonts w:ascii="Arial" w:hAnsi="Arial" w:cs="Arial"/>
          <w:sz w:val="20"/>
          <w:szCs w:val="20"/>
          <w:lang w:val="nb-NO"/>
        </w:rPr>
        <w:t>2017. </w:t>
      </w:r>
      <w:r w:rsidRPr="007F452C">
        <w:rPr>
          <w:rFonts w:ascii="Arial" w:hAnsi="Arial" w:cs="Arial"/>
          <w:sz w:val="20"/>
          <w:szCs w:val="20"/>
        </w:rPr>
        <w:t>Processing and quality-control strategies for consistent time-lapse seismic attributes: A case history on an internal blowout using vintage data, </w:t>
      </w:r>
      <w:r w:rsidRPr="007F452C">
        <w:rPr>
          <w:rFonts w:ascii="Arial" w:hAnsi="Arial" w:cs="Arial"/>
          <w:iCs/>
          <w:sz w:val="20"/>
          <w:szCs w:val="20"/>
        </w:rPr>
        <w:t xml:space="preserve">Geophysics, </w:t>
      </w:r>
      <w:r w:rsidRPr="007F452C">
        <w:rPr>
          <w:rFonts w:ascii="Arial" w:hAnsi="Arial" w:cs="Arial"/>
          <w:sz w:val="20"/>
          <w:szCs w:val="20"/>
        </w:rPr>
        <w:t>82(4).</w:t>
      </w:r>
    </w:p>
    <w:p w:rsidR="00222710" w:rsidRPr="007F452C" w:rsidRDefault="0035149E" w:rsidP="00222710">
      <w:pPr>
        <w:spacing w:after="120" w:line="276" w:lineRule="auto"/>
        <w:ind w:left="288" w:hanging="288"/>
        <w:rPr>
          <w:rFonts w:ascii="Arial" w:hAnsi="Arial" w:cs="Arial"/>
          <w:sz w:val="20"/>
          <w:szCs w:val="20"/>
        </w:rPr>
      </w:pPr>
      <w:proofErr w:type="gramStart"/>
      <w:r w:rsidRPr="007F452C">
        <w:rPr>
          <w:rFonts w:ascii="Arial" w:hAnsi="Arial" w:cs="Arial"/>
          <w:sz w:val="20"/>
          <w:szCs w:val="20"/>
        </w:rPr>
        <w:t>Haavik, K.E. and</w:t>
      </w:r>
      <w:r w:rsidR="00222710" w:rsidRPr="007F452C">
        <w:rPr>
          <w:rFonts w:ascii="Arial" w:hAnsi="Arial" w:cs="Arial"/>
          <w:sz w:val="20"/>
          <w:szCs w:val="20"/>
        </w:rPr>
        <w:t xml:space="preserve"> </w:t>
      </w:r>
      <w:r w:rsidRPr="007F452C">
        <w:rPr>
          <w:rFonts w:ascii="Arial" w:hAnsi="Arial" w:cs="Arial"/>
          <w:sz w:val="20"/>
          <w:szCs w:val="20"/>
        </w:rPr>
        <w:t>Landrø, M.</w:t>
      </w:r>
      <w:r w:rsidR="00A47FED" w:rsidRPr="007F452C">
        <w:rPr>
          <w:rFonts w:ascii="Arial" w:hAnsi="Arial" w:cs="Arial"/>
          <w:sz w:val="20"/>
          <w:szCs w:val="20"/>
        </w:rPr>
        <w:t xml:space="preserve">, </w:t>
      </w:r>
      <w:r w:rsidRPr="007F452C">
        <w:rPr>
          <w:rFonts w:ascii="Arial" w:hAnsi="Arial" w:cs="Arial"/>
          <w:sz w:val="20"/>
          <w:szCs w:val="20"/>
        </w:rPr>
        <w:t>2017.</w:t>
      </w:r>
      <w:proofErr w:type="gramEnd"/>
      <w:r w:rsidRPr="007F452C">
        <w:rPr>
          <w:rFonts w:ascii="Arial" w:hAnsi="Arial" w:cs="Arial"/>
          <w:sz w:val="20"/>
          <w:szCs w:val="20"/>
        </w:rPr>
        <w:t> Variable source depth acquisition for (an overall) improved signal-to-noise ratio in marine broadband seismic data: A modeling study, Geophysics, 82(4).</w:t>
      </w:r>
    </w:p>
    <w:p w:rsidR="00222710" w:rsidRPr="007F452C" w:rsidRDefault="00222710" w:rsidP="00E417FD">
      <w:pPr>
        <w:spacing w:after="120" w:line="276" w:lineRule="auto"/>
        <w:ind w:left="288" w:hanging="288"/>
        <w:rPr>
          <w:rFonts w:ascii="Arial" w:hAnsi="Arial" w:cs="Arial"/>
          <w:sz w:val="20"/>
          <w:szCs w:val="20"/>
        </w:rPr>
      </w:pPr>
      <w:r w:rsidRPr="007F452C">
        <w:rPr>
          <w:rFonts w:ascii="Arial" w:hAnsi="Arial" w:cs="Arial"/>
          <w:sz w:val="20"/>
          <w:szCs w:val="20"/>
        </w:rPr>
        <w:t>M.</w:t>
      </w:r>
      <w:r w:rsidRPr="007F452C">
        <w:rPr>
          <w:rFonts w:ascii="Arial" w:hAnsi="Arial" w:cs="Arial"/>
          <w:spacing w:val="38"/>
          <w:sz w:val="20"/>
          <w:szCs w:val="20"/>
        </w:rPr>
        <w:t xml:space="preserve"> </w:t>
      </w:r>
      <w:r w:rsidRPr="007F452C">
        <w:rPr>
          <w:rFonts w:ascii="Arial" w:hAnsi="Arial" w:cs="Arial"/>
          <w:spacing w:val="-1"/>
          <w:sz w:val="20"/>
          <w:szCs w:val="20"/>
        </w:rPr>
        <w:t>Dobriceanu, A.</w:t>
      </w:r>
      <w:r w:rsidRPr="007F452C">
        <w:rPr>
          <w:rFonts w:ascii="Arial" w:hAnsi="Arial" w:cs="Arial"/>
          <w:spacing w:val="38"/>
          <w:sz w:val="20"/>
          <w:szCs w:val="20"/>
        </w:rPr>
        <w:t xml:space="preserve"> </w:t>
      </w:r>
      <w:r w:rsidRPr="007F452C">
        <w:rPr>
          <w:rFonts w:ascii="Arial" w:hAnsi="Arial" w:cs="Arial"/>
          <w:spacing w:val="-1"/>
          <w:sz w:val="20"/>
          <w:szCs w:val="20"/>
        </w:rPr>
        <w:t xml:space="preserve">Bitoleanu, </w:t>
      </w:r>
      <w:r w:rsidRPr="007F452C">
        <w:rPr>
          <w:rFonts w:ascii="Arial" w:hAnsi="Arial" w:cs="Arial"/>
          <w:bCs/>
          <w:spacing w:val="-1"/>
          <w:sz w:val="20"/>
          <w:szCs w:val="20"/>
        </w:rPr>
        <w:t>G. Vl</w:t>
      </w:r>
      <w:r w:rsidRPr="007F452C">
        <w:rPr>
          <w:rFonts w:ascii="Arial" w:hAnsi="Arial" w:cs="Arial"/>
          <w:bCs/>
          <w:spacing w:val="-1"/>
          <w:sz w:val="20"/>
          <w:szCs w:val="20"/>
          <w:lang w:val="ro-RO"/>
        </w:rPr>
        <w:t>ă</w:t>
      </w:r>
      <w:r w:rsidRPr="007F452C">
        <w:rPr>
          <w:rFonts w:ascii="Arial" w:hAnsi="Arial" w:cs="Arial"/>
          <w:bCs/>
          <w:spacing w:val="-1"/>
          <w:sz w:val="20"/>
          <w:szCs w:val="20"/>
        </w:rPr>
        <w:t xml:space="preserve">duț, </w:t>
      </w:r>
      <w:r w:rsidRPr="007F452C">
        <w:rPr>
          <w:rFonts w:ascii="Arial" w:hAnsi="Arial" w:cs="Arial"/>
          <w:sz w:val="20"/>
          <w:szCs w:val="20"/>
        </w:rPr>
        <w:t>M.</w:t>
      </w:r>
      <w:r w:rsidRPr="007F452C">
        <w:rPr>
          <w:rFonts w:ascii="Arial" w:hAnsi="Arial" w:cs="Arial"/>
          <w:spacing w:val="38"/>
          <w:sz w:val="20"/>
          <w:szCs w:val="20"/>
        </w:rPr>
        <w:t xml:space="preserve"> </w:t>
      </w:r>
      <w:r w:rsidRPr="007F452C">
        <w:rPr>
          <w:rFonts w:ascii="Arial" w:hAnsi="Arial" w:cs="Arial"/>
          <w:spacing w:val="-1"/>
          <w:sz w:val="20"/>
          <w:szCs w:val="20"/>
        </w:rPr>
        <w:t xml:space="preserve">Popescu, </w:t>
      </w:r>
      <w:r w:rsidRPr="007F452C">
        <w:rPr>
          <w:rFonts w:ascii="Arial" w:hAnsi="Arial" w:cs="Arial"/>
          <w:i/>
          <w:sz w:val="20"/>
          <w:szCs w:val="20"/>
        </w:rPr>
        <w:t>Method</w:t>
      </w:r>
      <w:r w:rsidRPr="007F452C">
        <w:rPr>
          <w:rFonts w:ascii="Arial" w:hAnsi="Arial" w:cs="Arial"/>
          <w:i/>
          <w:spacing w:val="43"/>
          <w:sz w:val="20"/>
          <w:szCs w:val="20"/>
        </w:rPr>
        <w:t xml:space="preserve"> </w:t>
      </w:r>
      <w:r w:rsidRPr="007F452C">
        <w:rPr>
          <w:rFonts w:ascii="Arial" w:hAnsi="Arial" w:cs="Arial"/>
          <w:i/>
          <w:sz w:val="20"/>
          <w:szCs w:val="20"/>
        </w:rPr>
        <w:t>and</w:t>
      </w:r>
      <w:r w:rsidRPr="007F452C">
        <w:rPr>
          <w:rFonts w:ascii="Arial" w:hAnsi="Arial" w:cs="Arial"/>
          <w:i/>
          <w:spacing w:val="21"/>
          <w:sz w:val="20"/>
          <w:szCs w:val="20"/>
        </w:rPr>
        <w:t xml:space="preserve"> </w:t>
      </w:r>
      <w:r w:rsidRPr="007F452C">
        <w:rPr>
          <w:rFonts w:ascii="Arial" w:hAnsi="Arial" w:cs="Arial"/>
          <w:i/>
          <w:spacing w:val="-1"/>
          <w:sz w:val="20"/>
          <w:szCs w:val="20"/>
        </w:rPr>
        <w:t>System</w:t>
      </w:r>
      <w:r w:rsidRPr="007F452C">
        <w:rPr>
          <w:rFonts w:ascii="Arial" w:hAnsi="Arial" w:cs="Arial"/>
          <w:i/>
          <w:spacing w:val="23"/>
          <w:sz w:val="20"/>
          <w:szCs w:val="20"/>
        </w:rPr>
        <w:t xml:space="preserve"> </w:t>
      </w:r>
      <w:r w:rsidRPr="007F452C">
        <w:rPr>
          <w:rFonts w:ascii="Arial" w:hAnsi="Arial" w:cs="Arial"/>
          <w:i/>
          <w:sz w:val="20"/>
          <w:szCs w:val="20"/>
        </w:rPr>
        <w:t>for</w:t>
      </w:r>
      <w:r w:rsidRPr="007F452C">
        <w:rPr>
          <w:rFonts w:ascii="Arial" w:hAnsi="Arial" w:cs="Arial"/>
          <w:i/>
          <w:spacing w:val="21"/>
          <w:sz w:val="20"/>
          <w:szCs w:val="20"/>
        </w:rPr>
        <w:t xml:space="preserve"> </w:t>
      </w:r>
      <w:r w:rsidRPr="007F452C">
        <w:rPr>
          <w:rFonts w:ascii="Arial" w:hAnsi="Arial" w:cs="Arial"/>
          <w:i/>
          <w:spacing w:val="-1"/>
          <w:sz w:val="20"/>
          <w:szCs w:val="20"/>
        </w:rPr>
        <w:t>Monitoring</w:t>
      </w:r>
      <w:r w:rsidRPr="007F452C">
        <w:rPr>
          <w:rFonts w:ascii="Arial" w:hAnsi="Arial" w:cs="Arial"/>
          <w:i/>
          <w:spacing w:val="21"/>
          <w:sz w:val="20"/>
          <w:szCs w:val="20"/>
        </w:rPr>
        <w:t xml:space="preserve"> </w:t>
      </w:r>
      <w:r w:rsidRPr="007F452C">
        <w:rPr>
          <w:rFonts w:ascii="Arial" w:hAnsi="Arial" w:cs="Arial"/>
          <w:i/>
          <w:sz w:val="20"/>
          <w:szCs w:val="20"/>
        </w:rPr>
        <w:t>the</w:t>
      </w:r>
      <w:r w:rsidRPr="007F452C">
        <w:rPr>
          <w:rFonts w:ascii="Arial" w:hAnsi="Arial" w:cs="Arial"/>
          <w:i/>
          <w:spacing w:val="20"/>
          <w:sz w:val="20"/>
          <w:szCs w:val="20"/>
        </w:rPr>
        <w:t xml:space="preserve"> </w:t>
      </w:r>
      <w:r w:rsidRPr="007F452C">
        <w:rPr>
          <w:rFonts w:ascii="Arial" w:hAnsi="Arial" w:cs="Arial"/>
          <w:i/>
          <w:spacing w:val="-1"/>
          <w:sz w:val="20"/>
          <w:szCs w:val="20"/>
        </w:rPr>
        <w:t>Power</w:t>
      </w:r>
      <w:r w:rsidRPr="007F452C">
        <w:rPr>
          <w:rFonts w:ascii="Arial" w:hAnsi="Arial" w:cs="Arial"/>
          <w:i/>
          <w:spacing w:val="24"/>
          <w:sz w:val="20"/>
          <w:szCs w:val="20"/>
        </w:rPr>
        <w:t xml:space="preserve"> </w:t>
      </w:r>
      <w:r w:rsidRPr="007F452C">
        <w:rPr>
          <w:rFonts w:ascii="Arial" w:hAnsi="Arial" w:cs="Arial"/>
          <w:i/>
          <w:spacing w:val="-1"/>
          <w:sz w:val="20"/>
          <w:szCs w:val="20"/>
        </w:rPr>
        <w:t>Quality</w:t>
      </w:r>
      <w:r w:rsidRPr="007F452C">
        <w:rPr>
          <w:rFonts w:ascii="Arial" w:hAnsi="Arial" w:cs="Arial"/>
          <w:i/>
          <w:spacing w:val="20"/>
          <w:sz w:val="20"/>
          <w:szCs w:val="20"/>
        </w:rPr>
        <w:t xml:space="preserve"> </w:t>
      </w:r>
      <w:r w:rsidRPr="007F452C">
        <w:rPr>
          <w:rFonts w:ascii="Arial" w:hAnsi="Arial" w:cs="Arial"/>
          <w:i/>
          <w:sz w:val="20"/>
          <w:szCs w:val="20"/>
        </w:rPr>
        <w:t>in</w:t>
      </w:r>
      <w:r w:rsidRPr="007F452C">
        <w:rPr>
          <w:rFonts w:ascii="Arial" w:hAnsi="Arial" w:cs="Arial"/>
          <w:i/>
          <w:spacing w:val="24"/>
          <w:sz w:val="20"/>
          <w:szCs w:val="20"/>
        </w:rPr>
        <w:t xml:space="preserve"> </w:t>
      </w:r>
      <w:r w:rsidRPr="007F452C">
        <w:rPr>
          <w:rFonts w:ascii="Arial" w:hAnsi="Arial" w:cs="Arial"/>
          <w:i/>
          <w:spacing w:val="-1"/>
          <w:sz w:val="20"/>
          <w:szCs w:val="20"/>
        </w:rPr>
        <w:t>Electrical</w:t>
      </w:r>
      <w:r w:rsidRPr="007F452C">
        <w:rPr>
          <w:rFonts w:ascii="Arial" w:hAnsi="Arial" w:cs="Arial"/>
          <w:i/>
          <w:spacing w:val="22"/>
          <w:sz w:val="20"/>
          <w:szCs w:val="20"/>
        </w:rPr>
        <w:t xml:space="preserve"> </w:t>
      </w:r>
      <w:r w:rsidRPr="007F452C">
        <w:rPr>
          <w:rFonts w:ascii="Arial" w:hAnsi="Arial" w:cs="Arial"/>
          <w:i/>
          <w:spacing w:val="-1"/>
          <w:sz w:val="20"/>
          <w:szCs w:val="20"/>
        </w:rPr>
        <w:t>Distribution</w:t>
      </w:r>
      <w:r w:rsidRPr="007F452C">
        <w:rPr>
          <w:rFonts w:ascii="Arial" w:hAnsi="Arial" w:cs="Arial"/>
          <w:i/>
          <w:spacing w:val="24"/>
          <w:sz w:val="20"/>
          <w:szCs w:val="20"/>
        </w:rPr>
        <w:t xml:space="preserve"> </w:t>
      </w:r>
      <w:r w:rsidRPr="007F452C">
        <w:rPr>
          <w:rFonts w:ascii="Arial" w:hAnsi="Arial" w:cs="Arial"/>
          <w:i/>
          <w:sz w:val="20"/>
          <w:szCs w:val="20"/>
        </w:rPr>
        <w:t>Stations,</w:t>
      </w:r>
      <w:r w:rsidRPr="007F452C">
        <w:rPr>
          <w:rFonts w:ascii="Arial" w:hAnsi="Arial" w:cs="Arial"/>
          <w:i/>
          <w:spacing w:val="24"/>
          <w:sz w:val="20"/>
          <w:szCs w:val="20"/>
        </w:rPr>
        <w:t xml:space="preserve"> </w:t>
      </w:r>
      <w:r w:rsidRPr="007F452C">
        <w:rPr>
          <w:rFonts w:ascii="Arial" w:hAnsi="Arial" w:cs="Arial"/>
          <w:spacing w:val="-1"/>
          <w:sz w:val="20"/>
          <w:szCs w:val="20"/>
        </w:rPr>
        <w:t>International</w:t>
      </w:r>
      <w:r w:rsidRPr="007F452C">
        <w:rPr>
          <w:rFonts w:ascii="Arial" w:hAnsi="Arial" w:cs="Arial"/>
          <w:spacing w:val="89"/>
          <w:sz w:val="20"/>
          <w:szCs w:val="20"/>
        </w:rPr>
        <w:t xml:space="preserve"> </w:t>
      </w:r>
      <w:r w:rsidRPr="007F452C">
        <w:rPr>
          <w:rFonts w:ascii="Arial" w:hAnsi="Arial" w:cs="Arial"/>
          <w:spacing w:val="-1"/>
          <w:sz w:val="20"/>
          <w:szCs w:val="20"/>
        </w:rPr>
        <w:t>Aegean</w:t>
      </w:r>
      <w:r w:rsidRPr="007F452C">
        <w:rPr>
          <w:rFonts w:ascii="Arial" w:hAnsi="Arial" w:cs="Arial"/>
          <w:spacing w:val="57"/>
          <w:sz w:val="20"/>
          <w:szCs w:val="20"/>
        </w:rPr>
        <w:t xml:space="preserve"> </w:t>
      </w:r>
      <w:r w:rsidRPr="007F452C">
        <w:rPr>
          <w:rFonts w:ascii="Arial" w:hAnsi="Arial" w:cs="Arial"/>
          <w:spacing w:val="-1"/>
          <w:sz w:val="20"/>
          <w:szCs w:val="20"/>
        </w:rPr>
        <w:t>Conference</w:t>
      </w:r>
      <w:r w:rsidRPr="007F452C">
        <w:rPr>
          <w:rFonts w:ascii="Arial" w:hAnsi="Arial" w:cs="Arial"/>
          <w:spacing w:val="54"/>
          <w:sz w:val="20"/>
          <w:szCs w:val="20"/>
        </w:rPr>
        <w:t xml:space="preserve"> </w:t>
      </w:r>
      <w:r w:rsidRPr="007F452C">
        <w:rPr>
          <w:rFonts w:ascii="Arial" w:hAnsi="Arial" w:cs="Arial"/>
          <w:sz w:val="20"/>
          <w:szCs w:val="20"/>
        </w:rPr>
        <w:t>on</w:t>
      </w:r>
      <w:r w:rsidRPr="007F452C">
        <w:rPr>
          <w:rFonts w:ascii="Arial" w:hAnsi="Arial" w:cs="Arial"/>
          <w:spacing w:val="57"/>
          <w:sz w:val="20"/>
          <w:szCs w:val="20"/>
        </w:rPr>
        <w:t xml:space="preserve"> </w:t>
      </w:r>
      <w:r w:rsidRPr="007F452C">
        <w:rPr>
          <w:rFonts w:ascii="Arial" w:hAnsi="Arial" w:cs="Arial"/>
          <w:spacing w:val="-1"/>
          <w:sz w:val="20"/>
          <w:szCs w:val="20"/>
        </w:rPr>
        <w:t>Electrical</w:t>
      </w:r>
      <w:r w:rsidRPr="007F452C">
        <w:rPr>
          <w:rFonts w:ascii="Arial" w:hAnsi="Arial" w:cs="Arial"/>
          <w:spacing w:val="55"/>
          <w:sz w:val="20"/>
          <w:szCs w:val="20"/>
        </w:rPr>
        <w:t xml:space="preserve"> </w:t>
      </w:r>
      <w:r w:rsidRPr="007F452C">
        <w:rPr>
          <w:rFonts w:ascii="Arial" w:hAnsi="Arial" w:cs="Arial"/>
          <w:spacing w:val="-1"/>
          <w:sz w:val="20"/>
          <w:szCs w:val="20"/>
        </w:rPr>
        <w:t>Machines</w:t>
      </w:r>
      <w:r w:rsidRPr="007F452C">
        <w:rPr>
          <w:rFonts w:ascii="Arial" w:hAnsi="Arial" w:cs="Arial"/>
          <w:spacing w:val="57"/>
          <w:sz w:val="20"/>
          <w:szCs w:val="20"/>
        </w:rPr>
        <w:t xml:space="preserve"> </w:t>
      </w:r>
      <w:r w:rsidRPr="007F452C">
        <w:rPr>
          <w:rFonts w:ascii="Arial" w:hAnsi="Arial" w:cs="Arial"/>
          <w:spacing w:val="-1"/>
          <w:sz w:val="20"/>
          <w:szCs w:val="20"/>
        </w:rPr>
        <w:t>and</w:t>
      </w:r>
      <w:r w:rsidRPr="007F452C">
        <w:rPr>
          <w:rFonts w:ascii="Arial" w:hAnsi="Arial" w:cs="Arial"/>
          <w:spacing w:val="57"/>
          <w:sz w:val="20"/>
          <w:szCs w:val="20"/>
        </w:rPr>
        <w:t xml:space="preserve"> </w:t>
      </w:r>
      <w:r w:rsidRPr="007F452C">
        <w:rPr>
          <w:rFonts w:ascii="Arial" w:hAnsi="Arial" w:cs="Arial"/>
          <w:spacing w:val="-1"/>
          <w:sz w:val="20"/>
          <w:szCs w:val="20"/>
        </w:rPr>
        <w:t>Power</w:t>
      </w:r>
      <w:r w:rsidRPr="007F452C">
        <w:rPr>
          <w:rFonts w:ascii="Arial" w:hAnsi="Arial" w:cs="Arial"/>
          <w:spacing w:val="54"/>
          <w:sz w:val="20"/>
          <w:szCs w:val="20"/>
        </w:rPr>
        <w:t xml:space="preserve"> </w:t>
      </w:r>
      <w:r w:rsidRPr="007F452C">
        <w:rPr>
          <w:rFonts w:ascii="Arial" w:hAnsi="Arial" w:cs="Arial"/>
          <w:spacing w:val="-1"/>
          <w:sz w:val="20"/>
          <w:szCs w:val="20"/>
        </w:rPr>
        <w:t>Electronics</w:t>
      </w:r>
      <w:r w:rsidRPr="007F452C">
        <w:rPr>
          <w:rFonts w:ascii="Arial" w:hAnsi="Arial" w:cs="Arial"/>
          <w:spacing w:val="57"/>
          <w:sz w:val="20"/>
          <w:szCs w:val="20"/>
        </w:rPr>
        <w:t xml:space="preserve"> </w:t>
      </w:r>
      <w:r w:rsidRPr="007F452C">
        <w:rPr>
          <w:rFonts w:ascii="Arial" w:hAnsi="Arial" w:cs="Arial"/>
          <w:spacing w:val="-1"/>
          <w:sz w:val="20"/>
          <w:szCs w:val="20"/>
        </w:rPr>
        <w:t>and</w:t>
      </w:r>
      <w:r w:rsidRPr="007F452C">
        <w:rPr>
          <w:rFonts w:ascii="Arial" w:hAnsi="Arial" w:cs="Arial"/>
          <w:spacing w:val="57"/>
          <w:sz w:val="20"/>
          <w:szCs w:val="20"/>
        </w:rPr>
        <w:t xml:space="preserve"> </w:t>
      </w:r>
      <w:r w:rsidRPr="007F452C">
        <w:rPr>
          <w:rFonts w:ascii="Arial" w:hAnsi="Arial" w:cs="Arial"/>
          <w:spacing w:val="-1"/>
          <w:sz w:val="20"/>
          <w:szCs w:val="20"/>
        </w:rPr>
        <w:t>Electromotion</w:t>
      </w:r>
      <w:r w:rsidRPr="007F452C">
        <w:rPr>
          <w:rFonts w:ascii="Arial" w:hAnsi="Arial" w:cs="Arial"/>
          <w:spacing w:val="55"/>
          <w:sz w:val="20"/>
          <w:szCs w:val="20"/>
        </w:rPr>
        <w:t xml:space="preserve"> </w:t>
      </w:r>
      <w:r w:rsidRPr="007F452C">
        <w:rPr>
          <w:rFonts w:ascii="Arial" w:hAnsi="Arial" w:cs="Arial"/>
          <w:spacing w:val="-1"/>
          <w:sz w:val="20"/>
          <w:szCs w:val="20"/>
        </w:rPr>
        <w:t>Joint</w:t>
      </w:r>
      <w:r w:rsidRPr="007F452C">
        <w:rPr>
          <w:rFonts w:ascii="Arial" w:hAnsi="Arial" w:cs="Arial"/>
          <w:spacing w:val="99"/>
          <w:sz w:val="20"/>
          <w:szCs w:val="20"/>
        </w:rPr>
        <w:t xml:space="preserve"> </w:t>
      </w:r>
      <w:r w:rsidRPr="007F452C">
        <w:rPr>
          <w:rFonts w:ascii="Arial" w:hAnsi="Arial" w:cs="Arial"/>
          <w:spacing w:val="-1"/>
          <w:sz w:val="20"/>
          <w:szCs w:val="20"/>
        </w:rPr>
        <w:t>Conference,</w:t>
      </w:r>
      <w:r w:rsidRPr="007F452C">
        <w:rPr>
          <w:rFonts w:ascii="Arial" w:hAnsi="Arial" w:cs="Arial"/>
          <w:spacing w:val="26"/>
          <w:sz w:val="20"/>
          <w:szCs w:val="20"/>
        </w:rPr>
        <w:t xml:space="preserve"> </w:t>
      </w:r>
      <w:r w:rsidRPr="007F452C">
        <w:rPr>
          <w:rFonts w:ascii="Arial" w:hAnsi="Arial" w:cs="Arial"/>
          <w:sz w:val="20"/>
          <w:szCs w:val="20"/>
        </w:rPr>
        <w:t>–</w:t>
      </w:r>
      <w:r w:rsidRPr="007F452C">
        <w:rPr>
          <w:rFonts w:ascii="Arial" w:hAnsi="Arial" w:cs="Arial"/>
          <w:spacing w:val="26"/>
          <w:sz w:val="20"/>
          <w:szCs w:val="20"/>
        </w:rPr>
        <w:t xml:space="preserve"> </w:t>
      </w:r>
      <w:r w:rsidRPr="007F452C">
        <w:rPr>
          <w:rFonts w:ascii="Arial" w:hAnsi="Arial" w:cs="Arial"/>
          <w:spacing w:val="-1"/>
          <w:sz w:val="20"/>
          <w:szCs w:val="20"/>
        </w:rPr>
        <w:t>ACEMP07,</w:t>
      </w:r>
      <w:r w:rsidRPr="007F452C">
        <w:rPr>
          <w:rFonts w:ascii="Arial" w:hAnsi="Arial" w:cs="Arial"/>
          <w:spacing w:val="26"/>
          <w:sz w:val="20"/>
          <w:szCs w:val="20"/>
        </w:rPr>
        <w:t xml:space="preserve"> </w:t>
      </w:r>
      <w:r w:rsidRPr="007F452C">
        <w:rPr>
          <w:rFonts w:ascii="Arial" w:hAnsi="Arial" w:cs="Arial"/>
          <w:spacing w:val="-1"/>
          <w:sz w:val="20"/>
          <w:szCs w:val="20"/>
        </w:rPr>
        <w:t>Electromotion07,</w:t>
      </w:r>
      <w:r w:rsidRPr="007F452C">
        <w:rPr>
          <w:rFonts w:ascii="Arial" w:hAnsi="Arial" w:cs="Arial"/>
          <w:spacing w:val="26"/>
          <w:sz w:val="20"/>
          <w:szCs w:val="20"/>
        </w:rPr>
        <w:t xml:space="preserve"> </w:t>
      </w:r>
      <w:r w:rsidRPr="007F452C">
        <w:rPr>
          <w:rFonts w:ascii="Arial" w:hAnsi="Arial" w:cs="Arial"/>
          <w:spacing w:val="-1"/>
          <w:sz w:val="20"/>
          <w:szCs w:val="20"/>
        </w:rPr>
        <w:t>September</w:t>
      </w:r>
      <w:r w:rsidRPr="007F452C">
        <w:rPr>
          <w:rFonts w:ascii="Arial" w:hAnsi="Arial" w:cs="Arial"/>
          <w:spacing w:val="25"/>
          <w:sz w:val="20"/>
          <w:szCs w:val="20"/>
        </w:rPr>
        <w:t xml:space="preserve"> </w:t>
      </w:r>
      <w:r w:rsidRPr="007F452C">
        <w:rPr>
          <w:rFonts w:ascii="Arial" w:hAnsi="Arial" w:cs="Arial"/>
          <w:spacing w:val="-1"/>
          <w:sz w:val="20"/>
          <w:szCs w:val="20"/>
        </w:rPr>
        <w:t>10-12,</w:t>
      </w:r>
      <w:r w:rsidRPr="007F452C">
        <w:rPr>
          <w:rFonts w:ascii="Arial" w:hAnsi="Arial" w:cs="Arial"/>
          <w:spacing w:val="26"/>
          <w:sz w:val="20"/>
          <w:szCs w:val="20"/>
        </w:rPr>
        <w:t xml:space="preserve"> </w:t>
      </w:r>
      <w:r w:rsidRPr="007F452C">
        <w:rPr>
          <w:rFonts w:ascii="Arial" w:hAnsi="Arial" w:cs="Arial"/>
          <w:sz w:val="20"/>
          <w:szCs w:val="20"/>
        </w:rPr>
        <w:t>2007,</w:t>
      </w:r>
      <w:r w:rsidRPr="007F452C">
        <w:rPr>
          <w:rFonts w:ascii="Arial" w:hAnsi="Arial" w:cs="Arial"/>
          <w:spacing w:val="28"/>
          <w:sz w:val="20"/>
          <w:szCs w:val="20"/>
        </w:rPr>
        <w:t xml:space="preserve"> </w:t>
      </w:r>
      <w:r w:rsidRPr="007F452C">
        <w:rPr>
          <w:rFonts w:ascii="Arial" w:hAnsi="Arial" w:cs="Arial"/>
          <w:spacing w:val="-1"/>
          <w:sz w:val="20"/>
          <w:szCs w:val="20"/>
        </w:rPr>
        <w:t>Bodrum,</w:t>
      </w:r>
      <w:r w:rsidRPr="007F452C">
        <w:rPr>
          <w:rFonts w:ascii="Arial" w:hAnsi="Arial" w:cs="Arial"/>
          <w:spacing w:val="26"/>
          <w:sz w:val="20"/>
          <w:szCs w:val="20"/>
        </w:rPr>
        <w:t xml:space="preserve"> </w:t>
      </w:r>
      <w:r w:rsidRPr="007F452C">
        <w:rPr>
          <w:rFonts w:ascii="Arial" w:hAnsi="Arial" w:cs="Arial"/>
          <w:spacing w:val="-1"/>
          <w:sz w:val="20"/>
          <w:szCs w:val="20"/>
        </w:rPr>
        <w:t>T</w:t>
      </w:r>
      <w:r w:rsidR="00641C47" w:rsidRPr="007F452C">
        <w:rPr>
          <w:rFonts w:ascii="Arial" w:hAnsi="Arial" w:cs="Arial"/>
          <w:spacing w:val="-1"/>
          <w:sz w:val="20"/>
          <w:szCs w:val="20"/>
        </w:rPr>
        <w:t>urkey</w:t>
      </w:r>
      <w:r w:rsidRPr="007F452C">
        <w:rPr>
          <w:rFonts w:ascii="Arial" w:hAnsi="Arial" w:cs="Arial"/>
          <w:spacing w:val="-1"/>
          <w:sz w:val="20"/>
          <w:szCs w:val="20"/>
        </w:rPr>
        <w:t>,</w:t>
      </w:r>
      <w:r w:rsidRPr="007F452C">
        <w:rPr>
          <w:rFonts w:ascii="Arial" w:hAnsi="Arial" w:cs="Arial"/>
          <w:spacing w:val="81"/>
          <w:sz w:val="20"/>
          <w:szCs w:val="20"/>
        </w:rPr>
        <w:t xml:space="preserve"> </w:t>
      </w:r>
      <w:r w:rsidRPr="007F452C">
        <w:rPr>
          <w:rFonts w:ascii="Arial" w:hAnsi="Arial" w:cs="Arial"/>
          <w:spacing w:val="-1"/>
          <w:sz w:val="20"/>
          <w:szCs w:val="20"/>
        </w:rPr>
        <w:t>Proceedings</w:t>
      </w:r>
      <w:r w:rsidRPr="007F452C">
        <w:rPr>
          <w:rFonts w:ascii="Arial" w:hAnsi="Arial" w:cs="Arial"/>
          <w:spacing w:val="2"/>
          <w:sz w:val="20"/>
          <w:szCs w:val="20"/>
        </w:rPr>
        <w:t xml:space="preserve"> </w:t>
      </w:r>
      <w:r w:rsidRPr="007F452C">
        <w:rPr>
          <w:rFonts w:ascii="Arial" w:hAnsi="Arial" w:cs="Arial"/>
          <w:spacing w:val="-1"/>
          <w:sz w:val="20"/>
          <w:szCs w:val="20"/>
        </w:rPr>
        <w:t>ISBN:</w:t>
      </w:r>
      <w:r w:rsidRPr="007F452C">
        <w:rPr>
          <w:rFonts w:ascii="Arial" w:hAnsi="Arial" w:cs="Arial"/>
          <w:sz w:val="20"/>
          <w:szCs w:val="20"/>
        </w:rPr>
        <w:t xml:space="preserve"> 978-</w:t>
      </w:r>
      <w:r w:rsidRPr="007F452C">
        <w:rPr>
          <w:rFonts w:ascii="Arial" w:hAnsi="Arial" w:cs="Arial"/>
          <w:spacing w:val="1"/>
          <w:sz w:val="20"/>
          <w:szCs w:val="20"/>
        </w:rPr>
        <w:t xml:space="preserve"> </w:t>
      </w:r>
      <w:r w:rsidRPr="007F452C">
        <w:rPr>
          <w:rFonts w:ascii="Arial" w:hAnsi="Arial" w:cs="Arial"/>
          <w:spacing w:val="-1"/>
          <w:sz w:val="20"/>
          <w:szCs w:val="20"/>
        </w:rPr>
        <w:t>975-93410-2-2,</w:t>
      </w:r>
      <w:r w:rsidRPr="007F452C">
        <w:rPr>
          <w:rFonts w:ascii="Arial" w:hAnsi="Arial" w:cs="Arial"/>
          <w:sz w:val="20"/>
          <w:szCs w:val="20"/>
        </w:rPr>
        <w:t xml:space="preserve"> pp 526-</w:t>
      </w:r>
      <w:r w:rsidRPr="007F452C">
        <w:rPr>
          <w:rFonts w:ascii="Arial" w:hAnsi="Arial" w:cs="Arial"/>
          <w:spacing w:val="1"/>
          <w:sz w:val="20"/>
          <w:szCs w:val="20"/>
        </w:rPr>
        <w:t xml:space="preserve"> </w:t>
      </w:r>
      <w:r w:rsidRPr="007F452C">
        <w:rPr>
          <w:rFonts w:ascii="Arial" w:hAnsi="Arial" w:cs="Arial"/>
          <w:sz w:val="20"/>
          <w:szCs w:val="20"/>
        </w:rPr>
        <w:t>531.</w:t>
      </w:r>
    </w:p>
    <w:p w:rsidR="00F97ABC" w:rsidRPr="007F452C" w:rsidRDefault="009E7326" w:rsidP="00E417FD">
      <w:pPr>
        <w:widowControl w:val="0"/>
        <w:tabs>
          <w:tab w:val="left" w:pos="361"/>
        </w:tabs>
        <w:spacing w:after="120" w:line="276" w:lineRule="auto"/>
        <w:ind w:left="288" w:hanging="288"/>
        <w:rPr>
          <w:rFonts w:ascii="Arial" w:hAnsi="Arial" w:cs="Arial"/>
          <w:spacing w:val="-1"/>
          <w:sz w:val="20"/>
          <w:szCs w:val="20"/>
        </w:rPr>
      </w:pPr>
      <w:r w:rsidRPr="007F452C">
        <w:rPr>
          <w:rFonts w:ascii="Arial" w:hAnsi="Arial" w:cs="Arial"/>
          <w:spacing w:val="-1"/>
          <w:sz w:val="20"/>
          <w:szCs w:val="20"/>
        </w:rPr>
        <w:t>G.V</w:t>
      </w:r>
      <w:r w:rsidR="00F97ABC" w:rsidRPr="007F452C">
        <w:rPr>
          <w:rFonts w:ascii="Arial" w:hAnsi="Arial" w:cs="Arial"/>
          <w:spacing w:val="-1"/>
          <w:sz w:val="20"/>
          <w:szCs w:val="20"/>
        </w:rPr>
        <w:t>lăduț,</w:t>
      </w:r>
      <w:r w:rsidRPr="007F452C">
        <w:rPr>
          <w:rFonts w:ascii="Arial" w:hAnsi="Arial" w:cs="Arial"/>
          <w:spacing w:val="-1"/>
          <w:sz w:val="20"/>
          <w:szCs w:val="20"/>
        </w:rPr>
        <w:t xml:space="preserve"> </w:t>
      </w:r>
      <w:r w:rsidR="00F97ABC" w:rsidRPr="007F452C">
        <w:rPr>
          <w:rFonts w:ascii="Arial" w:hAnsi="Arial" w:cs="Arial"/>
          <w:spacing w:val="-1"/>
          <w:sz w:val="20"/>
          <w:szCs w:val="20"/>
        </w:rPr>
        <w:t>M.Dobriceanu,</w:t>
      </w:r>
      <w:r w:rsidRPr="007F452C">
        <w:rPr>
          <w:rFonts w:ascii="Arial" w:hAnsi="Arial" w:cs="Arial"/>
          <w:spacing w:val="-1"/>
          <w:sz w:val="20"/>
          <w:szCs w:val="20"/>
        </w:rPr>
        <w:t xml:space="preserve"> </w:t>
      </w:r>
      <w:r w:rsidR="00F97ABC" w:rsidRPr="007F452C">
        <w:rPr>
          <w:rFonts w:ascii="Arial" w:hAnsi="Arial" w:cs="Arial"/>
          <w:sz w:val="20"/>
          <w:szCs w:val="20"/>
        </w:rPr>
        <w:t>M.</w:t>
      </w:r>
      <w:r w:rsidR="00F97ABC" w:rsidRPr="007F452C">
        <w:rPr>
          <w:rFonts w:ascii="Arial" w:hAnsi="Arial" w:cs="Arial"/>
          <w:spacing w:val="-1"/>
          <w:sz w:val="20"/>
          <w:szCs w:val="20"/>
        </w:rPr>
        <w:t>Fetoiu,</w:t>
      </w:r>
      <w:r w:rsidR="0025673B" w:rsidRPr="007F452C">
        <w:rPr>
          <w:rFonts w:ascii="Arial" w:hAnsi="Arial" w:cs="Arial"/>
          <w:spacing w:val="-1"/>
          <w:sz w:val="20"/>
          <w:szCs w:val="20"/>
        </w:rPr>
        <w:t xml:space="preserve"> </w:t>
      </w:r>
      <w:r w:rsidR="00F97ABC" w:rsidRPr="007F452C">
        <w:rPr>
          <w:rFonts w:ascii="Arial" w:hAnsi="Arial" w:cs="Arial"/>
          <w:spacing w:val="-1"/>
          <w:sz w:val="20"/>
          <w:szCs w:val="20"/>
        </w:rPr>
        <w:t>C.Cojocaru,</w:t>
      </w:r>
      <w:r w:rsidRPr="007F452C">
        <w:rPr>
          <w:rFonts w:ascii="Arial" w:hAnsi="Arial" w:cs="Arial"/>
          <w:spacing w:val="-1"/>
          <w:sz w:val="20"/>
          <w:szCs w:val="20"/>
        </w:rPr>
        <w:t xml:space="preserve"> </w:t>
      </w:r>
      <w:r w:rsidR="00F97ABC" w:rsidRPr="007F452C">
        <w:rPr>
          <w:rFonts w:ascii="Arial" w:hAnsi="Arial" w:cs="Arial"/>
          <w:i/>
          <w:spacing w:val="-1"/>
          <w:sz w:val="20"/>
          <w:szCs w:val="20"/>
        </w:rPr>
        <w:t>Measurement</w:t>
      </w:r>
      <w:r w:rsidRPr="007F452C">
        <w:rPr>
          <w:rFonts w:ascii="Arial" w:hAnsi="Arial" w:cs="Arial"/>
          <w:i/>
          <w:spacing w:val="-1"/>
          <w:sz w:val="20"/>
          <w:szCs w:val="20"/>
        </w:rPr>
        <w:t xml:space="preserve"> </w:t>
      </w:r>
      <w:r w:rsidRPr="007F452C">
        <w:rPr>
          <w:rFonts w:ascii="Arial" w:hAnsi="Arial" w:cs="Arial"/>
          <w:i/>
          <w:sz w:val="20"/>
          <w:szCs w:val="20"/>
        </w:rPr>
        <w:t>of t</w:t>
      </w:r>
      <w:r w:rsidR="00F97ABC" w:rsidRPr="007F452C">
        <w:rPr>
          <w:rFonts w:ascii="Arial" w:hAnsi="Arial" w:cs="Arial"/>
          <w:i/>
          <w:sz w:val="20"/>
          <w:szCs w:val="20"/>
        </w:rPr>
        <w:t>he</w:t>
      </w:r>
      <w:r w:rsidRPr="007F452C">
        <w:rPr>
          <w:rFonts w:ascii="Arial" w:hAnsi="Arial" w:cs="Arial"/>
          <w:i/>
          <w:sz w:val="20"/>
          <w:szCs w:val="20"/>
        </w:rPr>
        <w:t xml:space="preserve"> </w:t>
      </w:r>
      <w:r w:rsidR="00F97ABC" w:rsidRPr="007F452C">
        <w:rPr>
          <w:rFonts w:ascii="Arial" w:hAnsi="Arial" w:cs="Arial"/>
          <w:i/>
          <w:spacing w:val="-1"/>
          <w:sz w:val="20"/>
          <w:szCs w:val="20"/>
        </w:rPr>
        <w:t>electric</w:t>
      </w:r>
      <w:r w:rsidRPr="007F452C">
        <w:rPr>
          <w:rFonts w:ascii="Arial" w:hAnsi="Arial" w:cs="Arial"/>
          <w:i/>
          <w:spacing w:val="-1"/>
          <w:sz w:val="20"/>
          <w:szCs w:val="20"/>
        </w:rPr>
        <w:t xml:space="preserve"> </w:t>
      </w:r>
      <w:r w:rsidR="00F97ABC" w:rsidRPr="007F452C">
        <w:rPr>
          <w:rFonts w:ascii="Arial" w:hAnsi="Arial" w:cs="Arial"/>
          <w:i/>
          <w:sz w:val="20"/>
          <w:szCs w:val="20"/>
        </w:rPr>
        <w:t>energy</w:t>
      </w:r>
      <w:r w:rsidRPr="007F452C">
        <w:rPr>
          <w:rFonts w:ascii="Arial" w:hAnsi="Arial" w:cs="Arial"/>
          <w:i/>
          <w:sz w:val="20"/>
          <w:szCs w:val="20"/>
        </w:rPr>
        <w:t xml:space="preserve"> </w:t>
      </w:r>
      <w:r w:rsidR="00F97ABC" w:rsidRPr="007F452C">
        <w:rPr>
          <w:rFonts w:ascii="Arial" w:hAnsi="Arial" w:cs="Arial"/>
          <w:i/>
          <w:sz w:val="20"/>
          <w:szCs w:val="20"/>
        </w:rPr>
        <w:t>quality</w:t>
      </w:r>
      <w:r w:rsidRPr="007F452C">
        <w:rPr>
          <w:rFonts w:ascii="Arial" w:hAnsi="Arial" w:cs="Arial"/>
          <w:i/>
          <w:sz w:val="20"/>
          <w:szCs w:val="20"/>
        </w:rPr>
        <w:t xml:space="preserve"> </w:t>
      </w:r>
      <w:r w:rsidR="00F97ABC" w:rsidRPr="007F452C">
        <w:rPr>
          <w:rFonts w:ascii="Arial" w:hAnsi="Arial" w:cs="Arial"/>
          <w:i/>
          <w:spacing w:val="-1"/>
          <w:sz w:val="20"/>
          <w:szCs w:val="20"/>
        </w:rPr>
        <w:t>parameters</w:t>
      </w:r>
      <w:r w:rsidRPr="007F452C">
        <w:rPr>
          <w:rFonts w:ascii="Arial" w:hAnsi="Arial" w:cs="Arial"/>
          <w:i/>
          <w:spacing w:val="-1"/>
          <w:sz w:val="20"/>
          <w:szCs w:val="20"/>
        </w:rPr>
        <w:t xml:space="preserve"> </w:t>
      </w:r>
      <w:r w:rsidR="00F97ABC" w:rsidRPr="007F452C">
        <w:rPr>
          <w:rFonts w:ascii="Arial" w:hAnsi="Arial" w:cs="Arial"/>
          <w:i/>
          <w:sz w:val="20"/>
          <w:szCs w:val="20"/>
        </w:rPr>
        <w:t>in</w:t>
      </w:r>
      <w:r w:rsidRPr="007F452C">
        <w:rPr>
          <w:rFonts w:ascii="Arial" w:hAnsi="Arial" w:cs="Arial"/>
          <w:i/>
          <w:sz w:val="20"/>
          <w:szCs w:val="20"/>
        </w:rPr>
        <w:t xml:space="preserve"> </w:t>
      </w:r>
      <w:r w:rsidR="00F97ABC" w:rsidRPr="007F452C">
        <w:rPr>
          <w:rFonts w:ascii="Arial" w:hAnsi="Arial" w:cs="Arial"/>
          <w:i/>
          <w:spacing w:val="-1"/>
          <w:sz w:val="20"/>
          <w:szCs w:val="20"/>
        </w:rPr>
        <w:t>electrical</w:t>
      </w:r>
      <w:r w:rsidRPr="007F452C">
        <w:rPr>
          <w:rFonts w:ascii="Arial" w:hAnsi="Arial" w:cs="Arial"/>
          <w:i/>
          <w:spacing w:val="-1"/>
          <w:sz w:val="20"/>
          <w:szCs w:val="20"/>
        </w:rPr>
        <w:t xml:space="preserve"> </w:t>
      </w:r>
      <w:r w:rsidR="00F97ABC" w:rsidRPr="007F452C">
        <w:rPr>
          <w:rFonts w:ascii="Arial" w:hAnsi="Arial" w:cs="Arial"/>
          <w:i/>
          <w:sz w:val="20"/>
          <w:szCs w:val="20"/>
        </w:rPr>
        <w:t>stations</w:t>
      </w:r>
      <w:r w:rsidR="00F97ABC" w:rsidRPr="007F452C">
        <w:rPr>
          <w:rFonts w:ascii="Arial" w:hAnsi="Arial" w:cs="Arial"/>
          <w:sz w:val="20"/>
          <w:szCs w:val="20"/>
        </w:rPr>
        <w:t>,</w:t>
      </w:r>
      <w:r w:rsidRPr="007F452C">
        <w:rPr>
          <w:rFonts w:ascii="Arial" w:hAnsi="Arial" w:cs="Arial"/>
          <w:sz w:val="20"/>
          <w:szCs w:val="20"/>
        </w:rPr>
        <w:t xml:space="preserve"> </w:t>
      </w:r>
      <w:r w:rsidR="00F97ABC" w:rsidRPr="007F452C">
        <w:rPr>
          <w:rFonts w:ascii="Arial" w:hAnsi="Arial" w:cs="Arial"/>
          <w:spacing w:val="-1"/>
          <w:sz w:val="20"/>
          <w:szCs w:val="20"/>
        </w:rPr>
        <w:t>The</w:t>
      </w:r>
      <w:r w:rsidRPr="007F452C">
        <w:rPr>
          <w:rFonts w:ascii="Arial" w:hAnsi="Arial" w:cs="Arial"/>
          <w:spacing w:val="-1"/>
          <w:sz w:val="20"/>
          <w:szCs w:val="20"/>
        </w:rPr>
        <w:t xml:space="preserve"> </w:t>
      </w:r>
      <w:r w:rsidR="00F97ABC" w:rsidRPr="007F452C">
        <w:rPr>
          <w:rFonts w:ascii="Arial" w:hAnsi="Arial" w:cs="Arial"/>
          <w:sz w:val="20"/>
          <w:szCs w:val="20"/>
        </w:rPr>
        <w:t>Journal</w:t>
      </w:r>
      <w:r w:rsidRPr="007F452C">
        <w:rPr>
          <w:rFonts w:ascii="Arial" w:hAnsi="Arial" w:cs="Arial"/>
          <w:sz w:val="20"/>
          <w:szCs w:val="20"/>
        </w:rPr>
        <w:t xml:space="preserve"> </w:t>
      </w:r>
      <w:r w:rsidR="00F97ABC" w:rsidRPr="007F452C">
        <w:rPr>
          <w:rFonts w:ascii="Arial" w:hAnsi="Arial" w:cs="Arial"/>
          <w:sz w:val="20"/>
          <w:szCs w:val="20"/>
        </w:rPr>
        <w:t>of</w:t>
      </w:r>
      <w:r w:rsidRPr="007F452C">
        <w:rPr>
          <w:rFonts w:ascii="Arial" w:hAnsi="Arial" w:cs="Arial"/>
          <w:sz w:val="20"/>
          <w:szCs w:val="20"/>
        </w:rPr>
        <w:t xml:space="preserve"> </w:t>
      </w:r>
      <w:r w:rsidR="00F97ABC" w:rsidRPr="007F452C">
        <w:rPr>
          <w:rFonts w:ascii="Arial" w:hAnsi="Arial" w:cs="Arial"/>
          <w:sz w:val="20"/>
          <w:szCs w:val="20"/>
        </w:rPr>
        <w:t>the</w:t>
      </w:r>
      <w:r w:rsidRPr="007F452C">
        <w:rPr>
          <w:rFonts w:ascii="Arial" w:hAnsi="Arial" w:cs="Arial"/>
          <w:sz w:val="20"/>
          <w:szCs w:val="20"/>
        </w:rPr>
        <w:t xml:space="preserve"> </w:t>
      </w:r>
      <w:r w:rsidR="00F97ABC" w:rsidRPr="007F452C">
        <w:rPr>
          <w:rFonts w:ascii="Arial" w:hAnsi="Arial" w:cs="Arial"/>
          <w:spacing w:val="-1"/>
          <w:sz w:val="20"/>
          <w:szCs w:val="20"/>
        </w:rPr>
        <w:t>National</w:t>
      </w:r>
      <w:r w:rsidRPr="007F452C">
        <w:rPr>
          <w:rFonts w:ascii="Arial" w:hAnsi="Arial" w:cs="Arial"/>
          <w:spacing w:val="-1"/>
          <w:sz w:val="20"/>
          <w:szCs w:val="20"/>
        </w:rPr>
        <w:t xml:space="preserve"> </w:t>
      </w:r>
      <w:r w:rsidR="00F97ABC" w:rsidRPr="007F452C">
        <w:rPr>
          <w:rFonts w:ascii="Arial" w:hAnsi="Arial" w:cs="Arial"/>
          <w:spacing w:val="-1"/>
          <w:sz w:val="20"/>
          <w:szCs w:val="20"/>
        </w:rPr>
        <w:t>Institute</w:t>
      </w:r>
      <w:r w:rsidRPr="007F452C">
        <w:rPr>
          <w:rFonts w:ascii="Arial" w:hAnsi="Arial" w:cs="Arial"/>
          <w:spacing w:val="-1"/>
          <w:sz w:val="20"/>
          <w:szCs w:val="20"/>
        </w:rPr>
        <w:t xml:space="preserve"> </w:t>
      </w:r>
      <w:r w:rsidR="00F97ABC" w:rsidRPr="007F452C">
        <w:rPr>
          <w:rFonts w:ascii="Arial" w:hAnsi="Arial" w:cs="Arial"/>
          <w:sz w:val="20"/>
          <w:szCs w:val="20"/>
        </w:rPr>
        <w:t>of</w:t>
      </w:r>
      <w:r w:rsidRPr="007F452C">
        <w:rPr>
          <w:rFonts w:ascii="Arial" w:hAnsi="Arial" w:cs="Arial"/>
          <w:sz w:val="20"/>
          <w:szCs w:val="20"/>
        </w:rPr>
        <w:t xml:space="preserve"> </w:t>
      </w:r>
      <w:r w:rsidR="00F97ABC" w:rsidRPr="007F452C">
        <w:rPr>
          <w:rFonts w:ascii="Arial" w:hAnsi="Arial" w:cs="Arial"/>
          <w:sz w:val="20"/>
          <w:szCs w:val="20"/>
        </w:rPr>
        <w:t>Metrology</w:t>
      </w:r>
      <w:r w:rsidRPr="007F452C">
        <w:rPr>
          <w:rFonts w:ascii="Arial" w:hAnsi="Arial" w:cs="Arial"/>
          <w:sz w:val="20"/>
          <w:szCs w:val="20"/>
        </w:rPr>
        <w:t xml:space="preserve"> </w:t>
      </w:r>
      <w:r w:rsidR="00F97ABC" w:rsidRPr="007F452C">
        <w:rPr>
          <w:rFonts w:ascii="Arial" w:hAnsi="Arial" w:cs="Arial"/>
          <w:spacing w:val="-1"/>
          <w:sz w:val="20"/>
          <w:szCs w:val="20"/>
        </w:rPr>
        <w:t>(INM)</w:t>
      </w:r>
      <w:r w:rsidRPr="007F452C">
        <w:rPr>
          <w:rFonts w:ascii="Arial" w:hAnsi="Arial" w:cs="Arial"/>
          <w:spacing w:val="-1"/>
          <w:sz w:val="20"/>
          <w:szCs w:val="20"/>
        </w:rPr>
        <w:t xml:space="preserve"> </w:t>
      </w:r>
      <w:r w:rsidR="00F97ABC" w:rsidRPr="007F452C">
        <w:rPr>
          <w:rFonts w:ascii="Arial" w:hAnsi="Arial" w:cs="Arial"/>
          <w:spacing w:val="-1"/>
          <w:sz w:val="20"/>
          <w:szCs w:val="20"/>
        </w:rPr>
        <w:t>and</w:t>
      </w:r>
      <w:r w:rsidRPr="007F452C">
        <w:rPr>
          <w:rFonts w:ascii="Arial" w:hAnsi="Arial" w:cs="Arial"/>
          <w:spacing w:val="-1"/>
          <w:sz w:val="20"/>
          <w:szCs w:val="20"/>
        </w:rPr>
        <w:t xml:space="preserve"> </w:t>
      </w:r>
      <w:r w:rsidR="00F97ABC" w:rsidRPr="007F452C">
        <w:rPr>
          <w:rFonts w:ascii="Arial" w:hAnsi="Arial" w:cs="Arial"/>
          <w:spacing w:val="1"/>
          <w:sz w:val="20"/>
          <w:szCs w:val="20"/>
        </w:rPr>
        <w:t>of</w:t>
      </w:r>
      <w:r w:rsidRPr="007F452C">
        <w:rPr>
          <w:rFonts w:ascii="Arial" w:hAnsi="Arial" w:cs="Arial"/>
          <w:spacing w:val="1"/>
          <w:sz w:val="20"/>
          <w:szCs w:val="20"/>
        </w:rPr>
        <w:t xml:space="preserve"> </w:t>
      </w:r>
      <w:r w:rsidR="00F97ABC" w:rsidRPr="007F452C">
        <w:rPr>
          <w:rFonts w:ascii="Arial" w:hAnsi="Arial" w:cs="Arial"/>
          <w:sz w:val="20"/>
          <w:szCs w:val="20"/>
        </w:rPr>
        <w:t>the</w:t>
      </w:r>
      <w:r w:rsidRPr="007F452C">
        <w:rPr>
          <w:rFonts w:ascii="Arial" w:hAnsi="Arial" w:cs="Arial"/>
          <w:sz w:val="20"/>
          <w:szCs w:val="20"/>
        </w:rPr>
        <w:t xml:space="preserve"> </w:t>
      </w:r>
      <w:r w:rsidR="00F97ABC" w:rsidRPr="007F452C">
        <w:rPr>
          <w:rFonts w:ascii="Arial" w:hAnsi="Arial" w:cs="Arial"/>
          <w:spacing w:val="-1"/>
          <w:sz w:val="20"/>
          <w:szCs w:val="20"/>
        </w:rPr>
        <w:t>Romanian</w:t>
      </w:r>
      <w:r w:rsidRPr="007F452C">
        <w:rPr>
          <w:rFonts w:ascii="Arial" w:hAnsi="Arial" w:cs="Arial"/>
          <w:spacing w:val="-1"/>
          <w:sz w:val="20"/>
          <w:szCs w:val="20"/>
        </w:rPr>
        <w:t xml:space="preserve"> </w:t>
      </w:r>
      <w:r w:rsidR="00F97ABC" w:rsidRPr="007F452C">
        <w:rPr>
          <w:rFonts w:ascii="Arial" w:hAnsi="Arial" w:cs="Arial"/>
          <w:spacing w:val="-1"/>
          <w:sz w:val="20"/>
          <w:szCs w:val="20"/>
        </w:rPr>
        <w:t>Bureau</w:t>
      </w:r>
      <w:r w:rsidRPr="007F452C">
        <w:rPr>
          <w:rFonts w:ascii="Arial" w:hAnsi="Arial" w:cs="Arial"/>
          <w:spacing w:val="-1"/>
          <w:sz w:val="20"/>
          <w:szCs w:val="20"/>
        </w:rPr>
        <w:t xml:space="preserve"> </w:t>
      </w:r>
      <w:r w:rsidR="00F97ABC" w:rsidRPr="007F452C">
        <w:rPr>
          <w:rFonts w:ascii="Arial" w:hAnsi="Arial" w:cs="Arial"/>
          <w:sz w:val="20"/>
          <w:szCs w:val="20"/>
        </w:rPr>
        <w:t>of</w:t>
      </w:r>
      <w:r w:rsidRPr="007F452C">
        <w:rPr>
          <w:rFonts w:ascii="Arial" w:hAnsi="Arial" w:cs="Arial"/>
          <w:sz w:val="20"/>
          <w:szCs w:val="20"/>
        </w:rPr>
        <w:t xml:space="preserve"> </w:t>
      </w:r>
      <w:r w:rsidR="00F97ABC" w:rsidRPr="007F452C">
        <w:rPr>
          <w:rFonts w:ascii="Arial" w:hAnsi="Arial" w:cs="Arial"/>
          <w:spacing w:val="-2"/>
          <w:sz w:val="20"/>
          <w:szCs w:val="20"/>
        </w:rPr>
        <w:t>Legal</w:t>
      </w:r>
      <w:r w:rsidRPr="007F452C">
        <w:rPr>
          <w:rFonts w:ascii="Arial" w:hAnsi="Arial" w:cs="Arial"/>
          <w:spacing w:val="-2"/>
          <w:sz w:val="20"/>
          <w:szCs w:val="20"/>
        </w:rPr>
        <w:t xml:space="preserve"> </w:t>
      </w:r>
      <w:r w:rsidR="00F97ABC" w:rsidRPr="007F452C">
        <w:rPr>
          <w:rFonts w:ascii="Arial" w:hAnsi="Arial" w:cs="Arial"/>
          <w:sz w:val="20"/>
          <w:szCs w:val="20"/>
        </w:rPr>
        <w:t>Metrology</w:t>
      </w:r>
      <w:r w:rsidRPr="007F452C">
        <w:rPr>
          <w:rFonts w:ascii="Arial" w:hAnsi="Arial" w:cs="Arial"/>
          <w:sz w:val="20"/>
          <w:szCs w:val="20"/>
        </w:rPr>
        <w:t xml:space="preserve"> </w:t>
      </w:r>
      <w:r w:rsidR="00F97ABC" w:rsidRPr="007F452C">
        <w:rPr>
          <w:rFonts w:ascii="Arial" w:hAnsi="Arial" w:cs="Arial"/>
          <w:spacing w:val="-1"/>
          <w:sz w:val="20"/>
          <w:szCs w:val="20"/>
        </w:rPr>
        <w:t>BRML),</w:t>
      </w:r>
      <w:r w:rsidRPr="007F452C">
        <w:rPr>
          <w:rFonts w:ascii="Arial" w:hAnsi="Arial" w:cs="Arial"/>
          <w:spacing w:val="-1"/>
          <w:sz w:val="20"/>
          <w:szCs w:val="20"/>
        </w:rPr>
        <w:t xml:space="preserve"> </w:t>
      </w:r>
      <w:r w:rsidR="00F97ABC" w:rsidRPr="007F452C">
        <w:rPr>
          <w:rFonts w:ascii="Arial" w:hAnsi="Arial" w:cs="Arial"/>
          <w:sz w:val="20"/>
          <w:szCs w:val="20"/>
        </w:rPr>
        <w:t>pag</w:t>
      </w:r>
      <w:r w:rsidR="00F97ABC" w:rsidRPr="007F452C">
        <w:rPr>
          <w:rFonts w:ascii="Arial" w:hAnsi="Arial" w:cs="Arial"/>
          <w:spacing w:val="-1"/>
          <w:sz w:val="20"/>
          <w:szCs w:val="20"/>
        </w:rPr>
        <w:t>30-37,</w:t>
      </w:r>
      <w:r w:rsidRPr="007F452C">
        <w:rPr>
          <w:rFonts w:ascii="Arial" w:hAnsi="Arial" w:cs="Arial"/>
          <w:spacing w:val="-1"/>
          <w:sz w:val="20"/>
          <w:szCs w:val="20"/>
        </w:rPr>
        <w:t xml:space="preserve"> </w:t>
      </w:r>
      <w:r w:rsidR="00F97ABC" w:rsidRPr="007F452C">
        <w:rPr>
          <w:rFonts w:ascii="Arial" w:hAnsi="Arial" w:cs="Arial"/>
          <w:spacing w:val="-1"/>
          <w:sz w:val="20"/>
          <w:szCs w:val="20"/>
        </w:rPr>
        <w:t>Ed</w:t>
      </w:r>
      <w:r w:rsidRPr="007F452C">
        <w:rPr>
          <w:rFonts w:ascii="Arial" w:hAnsi="Arial" w:cs="Arial"/>
          <w:spacing w:val="-1"/>
          <w:sz w:val="20"/>
          <w:szCs w:val="20"/>
        </w:rPr>
        <w:t xml:space="preserve"> </w:t>
      </w:r>
      <w:r w:rsidR="00F97ABC" w:rsidRPr="007F452C">
        <w:rPr>
          <w:rFonts w:ascii="Arial" w:hAnsi="Arial" w:cs="Arial"/>
          <w:spacing w:val="-2"/>
          <w:sz w:val="20"/>
          <w:szCs w:val="20"/>
        </w:rPr>
        <w:t>AGIR,</w:t>
      </w:r>
      <w:r w:rsidRPr="007F452C">
        <w:rPr>
          <w:rFonts w:ascii="Arial" w:hAnsi="Arial" w:cs="Arial"/>
          <w:spacing w:val="-2"/>
          <w:sz w:val="20"/>
          <w:szCs w:val="20"/>
        </w:rPr>
        <w:t xml:space="preserve"> </w:t>
      </w:r>
      <w:r w:rsidR="00F97ABC" w:rsidRPr="007F452C">
        <w:rPr>
          <w:rFonts w:ascii="Arial" w:hAnsi="Arial" w:cs="Arial"/>
          <w:spacing w:val="-1"/>
          <w:sz w:val="20"/>
          <w:szCs w:val="20"/>
        </w:rPr>
        <w:t>Vol</w:t>
      </w:r>
      <w:r w:rsidRPr="007F452C">
        <w:rPr>
          <w:rFonts w:ascii="Arial" w:hAnsi="Arial" w:cs="Arial"/>
          <w:spacing w:val="-1"/>
          <w:sz w:val="20"/>
          <w:szCs w:val="20"/>
        </w:rPr>
        <w:t xml:space="preserve"> </w:t>
      </w:r>
      <w:r w:rsidR="00F97ABC" w:rsidRPr="007F452C">
        <w:rPr>
          <w:rFonts w:ascii="Arial" w:hAnsi="Arial" w:cs="Arial"/>
          <w:spacing w:val="-1"/>
          <w:sz w:val="20"/>
          <w:szCs w:val="20"/>
        </w:rPr>
        <w:t>LV/nr</w:t>
      </w:r>
      <w:r w:rsidR="00F97ABC" w:rsidRPr="007F452C">
        <w:rPr>
          <w:rFonts w:ascii="Arial" w:hAnsi="Arial" w:cs="Arial"/>
          <w:sz w:val="20"/>
          <w:szCs w:val="20"/>
        </w:rPr>
        <w:t>1/2008,</w:t>
      </w:r>
      <w:r w:rsidRPr="007F452C">
        <w:rPr>
          <w:rFonts w:ascii="Arial" w:hAnsi="Arial" w:cs="Arial"/>
          <w:sz w:val="20"/>
          <w:szCs w:val="20"/>
        </w:rPr>
        <w:t xml:space="preserve"> </w:t>
      </w:r>
      <w:r w:rsidR="00F97ABC" w:rsidRPr="007F452C">
        <w:rPr>
          <w:rFonts w:ascii="Arial" w:hAnsi="Arial" w:cs="Arial"/>
          <w:spacing w:val="-2"/>
          <w:sz w:val="20"/>
          <w:szCs w:val="20"/>
        </w:rPr>
        <w:t>ISSN</w:t>
      </w:r>
      <w:r w:rsidRPr="007F452C">
        <w:rPr>
          <w:rFonts w:ascii="Arial" w:hAnsi="Arial" w:cs="Arial"/>
          <w:spacing w:val="-2"/>
          <w:sz w:val="20"/>
          <w:szCs w:val="20"/>
        </w:rPr>
        <w:t xml:space="preserve"> </w:t>
      </w:r>
      <w:r w:rsidR="00F97ABC" w:rsidRPr="007F452C">
        <w:rPr>
          <w:rFonts w:ascii="Arial" w:hAnsi="Arial" w:cs="Arial"/>
          <w:spacing w:val="-1"/>
          <w:sz w:val="20"/>
          <w:szCs w:val="20"/>
        </w:rPr>
        <w:t>1200-546X,</w:t>
      </w:r>
      <w:r w:rsidRPr="007F452C">
        <w:rPr>
          <w:rFonts w:ascii="Arial" w:hAnsi="Arial" w:cs="Arial"/>
          <w:spacing w:val="-1"/>
          <w:sz w:val="20"/>
          <w:szCs w:val="20"/>
        </w:rPr>
        <w:t xml:space="preserve"> </w:t>
      </w:r>
      <w:r w:rsidR="00F97ABC" w:rsidRPr="007F452C">
        <w:rPr>
          <w:rFonts w:ascii="Arial" w:hAnsi="Arial" w:cs="Arial"/>
          <w:spacing w:val="-1"/>
          <w:sz w:val="20"/>
          <w:szCs w:val="20"/>
        </w:rPr>
        <w:t>Scientific</w:t>
      </w:r>
      <w:r w:rsidRPr="007F452C">
        <w:rPr>
          <w:rFonts w:ascii="Arial" w:hAnsi="Arial" w:cs="Arial"/>
          <w:spacing w:val="-1"/>
          <w:sz w:val="20"/>
          <w:szCs w:val="20"/>
        </w:rPr>
        <w:t xml:space="preserve"> </w:t>
      </w:r>
      <w:r w:rsidR="00F97ABC" w:rsidRPr="007F452C">
        <w:rPr>
          <w:rFonts w:ascii="Arial" w:hAnsi="Arial" w:cs="Arial"/>
          <w:spacing w:val="-1"/>
          <w:sz w:val="20"/>
          <w:szCs w:val="20"/>
        </w:rPr>
        <w:t>publication</w:t>
      </w:r>
      <w:r w:rsidRPr="007F452C">
        <w:rPr>
          <w:rFonts w:ascii="Arial" w:hAnsi="Arial" w:cs="Arial"/>
          <w:spacing w:val="-1"/>
          <w:sz w:val="20"/>
          <w:szCs w:val="20"/>
        </w:rPr>
        <w:t xml:space="preserve"> </w:t>
      </w:r>
      <w:r w:rsidR="00F97ABC" w:rsidRPr="007F452C">
        <w:rPr>
          <w:rFonts w:ascii="Arial" w:hAnsi="Arial" w:cs="Arial"/>
          <w:spacing w:val="-1"/>
          <w:sz w:val="20"/>
          <w:szCs w:val="20"/>
        </w:rPr>
        <w:t>registere</w:t>
      </w:r>
      <w:r w:rsidRPr="007F452C">
        <w:rPr>
          <w:rFonts w:ascii="Arial" w:hAnsi="Arial" w:cs="Arial"/>
          <w:spacing w:val="-1"/>
          <w:sz w:val="20"/>
          <w:szCs w:val="20"/>
        </w:rPr>
        <w:t xml:space="preserve"> </w:t>
      </w:r>
      <w:r w:rsidR="00F97ABC" w:rsidRPr="007F452C">
        <w:rPr>
          <w:rFonts w:ascii="Arial" w:hAnsi="Arial" w:cs="Arial"/>
          <w:sz w:val="20"/>
          <w:szCs w:val="20"/>
        </w:rPr>
        <w:t>the</w:t>
      </w:r>
      <w:r w:rsidRPr="007F452C">
        <w:rPr>
          <w:rFonts w:ascii="Arial" w:hAnsi="Arial" w:cs="Arial"/>
          <w:sz w:val="20"/>
          <w:szCs w:val="20"/>
        </w:rPr>
        <w:t xml:space="preserve"> </w:t>
      </w:r>
      <w:r w:rsidR="00F97ABC" w:rsidRPr="007F452C">
        <w:rPr>
          <w:rFonts w:ascii="Arial" w:hAnsi="Arial" w:cs="Arial"/>
          <w:spacing w:val="-1"/>
          <w:sz w:val="20"/>
          <w:szCs w:val="20"/>
        </w:rPr>
        <w:t>EBSCO</w:t>
      </w:r>
      <w:r w:rsidRPr="007F452C">
        <w:rPr>
          <w:rFonts w:ascii="Arial" w:hAnsi="Arial" w:cs="Arial"/>
          <w:spacing w:val="-1"/>
          <w:sz w:val="20"/>
          <w:szCs w:val="20"/>
        </w:rPr>
        <w:t xml:space="preserve"> </w:t>
      </w:r>
      <w:r w:rsidR="00F97ABC" w:rsidRPr="007F452C">
        <w:rPr>
          <w:rFonts w:ascii="Arial" w:hAnsi="Arial" w:cs="Arial"/>
          <w:spacing w:val="-1"/>
          <w:sz w:val="20"/>
          <w:szCs w:val="20"/>
        </w:rPr>
        <w:t>database.</w:t>
      </w:r>
    </w:p>
    <w:p w:rsidR="00B122FD" w:rsidRPr="007F452C" w:rsidRDefault="00F97ABC" w:rsidP="00E417FD">
      <w:pPr>
        <w:pStyle w:val="BodyText"/>
        <w:widowControl w:val="0"/>
        <w:tabs>
          <w:tab w:val="left" w:pos="493"/>
        </w:tabs>
        <w:spacing w:after="120"/>
        <w:ind w:left="288" w:hanging="288"/>
        <w:jc w:val="both"/>
        <w:rPr>
          <w:rFonts w:ascii="Arial" w:hAnsi="Arial" w:cs="Arial"/>
          <w:sz w:val="20"/>
          <w:szCs w:val="20"/>
        </w:rPr>
      </w:pPr>
      <w:r w:rsidRPr="007F452C">
        <w:rPr>
          <w:rFonts w:ascii="Arial" w:hAnsi="Arial" w:cs="Arial"/>
          <w:sz w:val="20"/>
          <w:szCs w:val="20"/>
        </w:rPr>
        <w:t>I. Hamburg, E. O´Brien, G. Vlăduț, </w:t>
      </w:r>
      <w:hyperlink r:id="rId30" w:history="1">
        <w:r w:rsidRPr="007F452C">
          <w:rPr>
            <w:rStyle w:val="Hyperlink"/>
            <w:rFonts w:ascii="Arial" w:hAnsi="Arial" w:cs="Arial"/>
            <w:i/>
            <w:color w:val="000000" w:themeColor="text1"/>
            <w:sz w:val="20"/>
            <w:szCs w:val="20"/>
            <w:u w:val="none"/>
          </w:rPr>
          <w:t>Workplace Oriented Research and Mentoring of Entreprenuers: Cooperation University-Industry</w:t>
        </w:r>
      </w:hyperlink>
      <w:r w:rsidRPr="007F452C">
        <w:rPr>
          <w:rFonts w:ascii="Arial" w:hAnsi="Arial" w:cs="Arial"/>
          <w:sz w:val="20"/>
          <w:szCs w:val="20"/>
        </w:rPr>
        <w:t>, Archives of Business Research; ISSN 2054-7404 (ABR) Vol 6 - Issue 6 - June 2018.</w:t>
      </w:r>
    </w:p>
    <w:p w:rsidR="00B122FD" w:rsidRPr="007F452C" w:rsidRDefault="00B122FD" w:rsidP="00E417FD">
      <w:pPr>
        <w:pStyle w:val="BodyText"/>
        <w:widowControl w:val="0"/>
        <w:tabs>
          <w:tab w:val="left" w:pos="493"/>
        </w:tabs>
        <w:spacing w:after="120"/>
        <w:ind w:left="288" w:hanging="288"/>
        <w:jc w:val="both"/>
        <w:rPr>
          <w:rFonts w:ascii="Arial" w:hAnsi="Arial" w:cs="Arial"/>
          <w:sz w:val="20"/>
          <w:szCs w:val="20"/>
        </w:rPr>
      </w:pPr>
      <w:r w:rsidRPr="007F452C">
        <w:rPr>
          <w:rFonts w:ascii="Arial" w:eastAsia="Times New Roman" w:hAnsi="Arial" w:cs="Arial"/>
          <w:color w:val="000000" w:themeColor="text1"/>
          <w:spacing w:val="-1"/>
          <w:sz w:val="20"/>
          <w:szCs w:val="20"/>
        </w:rPr>
        <w:t>G</w:t>
      </w:r>
      <w:r w:rsidRPr="007F452C">
        <w:rPr>
          <w:rFonts w:ascii="Arial" w:hAnsi="Arial" w:cs="Arial"/>
          <w:color w:val="000000" w:themeColor="text1"/>
          <w:spacing w:val="-1"/>
          <w:sz w:val="20"/>
          <w:szCs w:val="20"/>
        </w:rPr>
        <w:t>.</w:t>
      </w:r>
      <w:r w:rsidRPr="007F452C">
        <w:rPr>
          <w:rFonts w:ascii="Arial" w:eastAsia="Times New Roman" w:hAnsi="Arial" w:cs="Arial"/>
          <w:color w:val="000000" w:themeColor="text1"/>
          <w:spacing w:val="-1"/>
          <w:sz w:val="20"/>
          <w:szCs w:val="20"/>
        </w:rPr>
        <w:t xml:space="preserve"> Vlăduț</w:t>
      </w:r>
      <w:r w:rsidRPr="007F452C">
        <w:rPr>
          <w:rFonts w:ascii="Arial" w:hAnsi="Arial" w:cs="Arial"/>
          <w:color w:val="000000" w:themeColor="text1"/>
          <w:sz w:val="20"/>
          <w:szCs w:val="20"/>
        </w:rPr>
        <w:t xml:space="preserve">, </w:t>
      </w:r>
      <w:r w:rsidRPr="007F452C">
        <w:rPr>
          <w:rFonts w:ascii="Arial" w:hAnsi="Arial" w:cs="Arial"/>
          <w:i/>
          <w:iCs/>
          <w:color w:val="000000" w:themeColor="text1"/>
          <w:sz w:val="20"/>
          <w:szCs w:val="20"/>
        </w:rPr>
        <w:t>Business transformation towards digitalization and smart systems</w:t>
      </w:r>
      <w:r w:rsidRPr="007F452C">
        <w:rPr>
          <w:rFonts w:ascii="Arial" w:hAnsi="Arial" w:cs="Arial"/>
          <w:iCs/>
          <w:color w:val="000000" w:themeColor="text1"/>
          <w:sz w:val="20"/>
          <w:szCs w:val="20"/>
        </w:rPr>
        <w:t xml:space="preserve">, </w:t>
      </w:r>
      <w:r w:rsidRPr="007F452C">
        <w:rPr>
          <w:rFonts w:ascii="Arial" w:hAnsi="Arial" w:cs="Arial"/>
          <w:color w:val="000000" w:themeColor="text1"/>
          <w:sz w:val="20"/>
          <w:szCs w:val="20"/>
        </w:rPr>
        <w:t xml:space="preserve">Annals of Reviews &amp; Research – Juniper Publishers, </w:t>
      </w:r>
      <w:r w:rsidRPr="007F452C">
        <w:rPr>
          <w:rFonts w:ascii="Arial" w:hAnsi="Arial" w:cs="Arial"/>
          <w:sz w:val="20"/>
          <w:szCs w:val="20"/>
        </w:rPr>
        <w:t>California, United States</w:t>
      </w:r>
      <w:r w:rsidRPr="007F452C">
        <w:rPr>
          <w:rFonts w:ascii="Arial" w:hAnsi="Arial" w:cs="Arial"/>
          <w:color w:val="000000" w:themeColor="text1"/>
          <w:sz w:val="20"/>
          <w:szCs w:val="20"/>
        </w:rPr>
        <w:t xml:space="preserve">, </w:t>
      </w:r>
      <w:r w:rsidRPr="007F452C">
        <w:rPr>
          <w:rFonts w:ascii="Arial" w:eastAsia="Cambria" w:hAnsi="Arial" w:cs="Arial"/>
          <w:bCs/>
          <w:color w:val="000000" w:themeColor="text1"/>
          <w:spacing w:val="-11"/>
          <w:sz w:val="20"/>
          <w:szCs w:val="20"/>
        </w:rPr>
        <w:t>V</w:t>
      </w:r>
      <w:r w:rsidRPr="007F452C">
        <w:rPr>
          <w:rFonts w:ascii="Arial" w:eastAsia="Cambria" w:hAnsi="Arial" w:cs="Arial"/>
          <w:bCs/>
          <w:color w:val="000000" w:themeColor="text1"/>
          <w:sz w:val="20"/>
          <w:szCs w:val="20"/>
        </w:rPr>
        <w:t>olume</w:t>
      </w:r>
      <w:r w:rsidR="00641C47" w:rsidRPr="007F452C">
        <w:rPr>
          <w:rFonts w:ascii="Arial" w:eastAsia="Cambria" w:hAnsi="Arial" w:cs="Arial"/>
          <w:bCs/>
          <w:color w:val="000000" w:themeColor="text1"/>
          <w:sz w:val="20"/>
          <w:szCs w:val="20"/>
        </w:rPr>
        <w:t xml:space="preserve"> </w:t>
      </w:r>
      <w:r w:rsidRPr="007F452C">
        <w:rPr>
          <w:rFonts w:ascii="Arial" w:eastAsia="Cambria" w:hAnsi="Arial" w:cs="Arial"/>
          <w:bCs/>
          <w:color w:val="000000" w:themeColor="text1"/>
          <w:sz w:val="20"/>
          <w:szCs w:val="20"/>
        </w:rPr>
        <w:t>4</w:t>
      </w:r>
      <w:r w:rsidR="00641C47" w:rsidRPr="007F452C">
        <w:rPr>
          <w:rFonts w:ascii="Arial" w:eastAsia="Cambria" w:hAnsi="Arial" w:cs="Arial"/>
          <w:bCs/>
          <w:color w:val="000000" w:themeColor="text1"/>
          <w:sz w:val="20"/>
          <w:szCs w:val="20"/>
        </w:rPr>
        <w:t xml:space="preserve"> </w:t>
      </w:r>
      <w:r w:rsidRPr="007F452C">
        <w:rPr>
          <w:rFonts w:ascii="Arial" w:eastAsia="Cambria" w:hAnsi="Arial" w:cs="Arial"/>
          <w:bCs/>
          <w:color w:val="000000" w:themeColor="text1"/>
          <w:sz w:val="20"/>
          <w:szCs w:val="20"/>
        </w:rPr>
        <w:t>Issue</w:t>
      </w:r>
      <w:r w:rsidR="00641C47" w:rsidRPr="007F452C">
        <w:rPr>
          <w:rFonts w:ascii="Arial" w:eastAsia="Cambria" w:hAnsi="Arial" w:cs="Arial"/>
          <w:bCs/>
          <w:color w:val="000000" w:themeColor="text1"/>
          <w:sz w:val="20"/>
          <w:szCs w:val="20"/>
        </w:rPr>
        <w:t xml:space="preserve"> </w:t>
      </w:r>
      <w:r w:rsidRPr="007F452C">
        <w:rPr>
          <w:rFonts w:ascii="Arial" w:eastAsia="Cambria" w:hAnsi="Arial" w:cs="Arial"/>
          <w:bCs/>
          <w:color w:val="000000" w:themeColor="text1"/>
          <w:sz w:val="20"/>
          <w:szCs w:val="20"/>
        </w:rPr>
        <w:t>2-Oc</w:t>
      </w:r>
      <w:r w:rsidRPr="007F452C">
        <w:rPr>
          <w:rFonts w:ascii="Arial" w:eastAsia="Cambria" w:hAnsi="Arial" w:cs="Arial"/>
          <w:bCs/>
          <w:color w:val="000000" w:themeColor="text1"/>
          <w:spacing w:val="-2"/>
          <w:sz w:val="20"/>
          <w:szCs w:val="20"/>
        </w:rPr>
        <w:t>t</w:t>
      </w:r>
      <w:r w:rsidRPr="007F452C">
        <w:rPr>
          <w:rFonts w:ascii="Arial" w:eastAsia="Cambria" w:hAnsi="Arial" w:cs="Arial"/>
          <w:bCs/>
          <w:color w:val="000000" w:themeColor="text1"/>
          <w:sz w:val="20"/>
          <w:szCs w:val="20"/>
        </w:rPr>
        <w:t>ober</w:t>
      </w:r>
      <w:r w:rsidR="00641C47" w:rsidRPr="007F452C">
        <w:rPr>
          <w:rFonts w:ascii="Arial" w:eastAsia="Cambria" w:hAnsi="Arial" w:cs="Arial"/>
          <w:bCs/>
          <w:color w:val="000000" w:themeColor="text1"/>
          <w:sz w:val="20"/>
          <w:szCs w:val="20"/>
        </w:rPr>
        <w:t xml:space="preserve"> </w:t>
      </w:r>
      <w:r w:rsidRPr="007F452C">
        <w:rPr>
          <w:rFonts w:ascii="Arial" w:eastAsia="Cambria" w:hAnsi="Arial" w:cs="Arial"/>
          <w:bCs/>
          <w:color w:val="000000" w:themeColor="text1"/>
          <w:sz w:val="20"/>
          <w:szCs w:val="20"/>
        </w:rPr>
        <w:t>2018.</w:t>
      </w:r>
    </w:p>
    <w:sectPr w:rsidR="00B122FD" w:rsidRPr="007F452C" w:rsidSect="007F452C">
      <w:headerReference w:type="default" r:id="rId31"/>
      <w:footerReference w:type="even" r:id="rId32"/>
      <w:footerReference w:type="default" r:id="rId33"/>
      <w:headerReference w:type="first" r:id="rId34"/>
      <w:pgSz w:w="11909" w:h="16834" w:code="9"/>
      <w:pgMar w:top="720" w:right="720" w:bottom="720" w:left="1440" w:header="1138" w:footer="850" w:gutter="0"/>
      <w:cols w:space="720"/>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FEDF9F" w16cid:durableId="1FFA9296"/>
  <w16cid:commentId w16cid:paraId="66BAD617" w16cid:durableId="1FFACE82"/>
  <w16cid:commentId w16cid:paraId="28B41CEE" w16cid:durableId="1FFACF16"/>
  <w16cid:commentId w16cid:paraId="20C69182" w16cid:durableId="1FFACF92"/>
  <w16cid:commentId w16cid:paraId="4164D145" w16cid:durableId="1FC5E654"/>
  <w16cid:commentId w16cid:paraId="176533A6" w16cid:durableId="1FE0BC99"/>
  <w16cid:commentId w16cid:paraId="2EC1F0B1" w16cid:durableId="1FFADA43"/>
  <w16cid:commentId w16cid:paraId="7E275B2F" w16cid:durableId="1FFADB64"/>
  <w16cid:commentId w16cid:paraId="1ABB328A" w16cid:durableId="1FFAE06B"/>
  <w16cid:commentId w16cid:paraId="1A8EA22A" w16cid:durableId="1FE0AEB7"/>
  <w16cid:commentId w16cid:paraId="6CEFEA6A" w16cid:durableId="1FE0BF34"/>
  <w16cid:commentId w16cid:paraId="4B00D773" w16cid:durableId="1FE0BF7F"/>
  <w16cid:commentId w16cid:paraId="7A5622D4" w16cid:durableId="1FFAE0FE"/>
  <w16cid:commentId w16cid:paraId="71B9F526" w16cid:durableId="2002D5FF"/>
  <w16cid:commentId w16cid:paraId="122C5341" w16cid:durableId="2003E741"/>
  <w16cid:commentId w16cid:paraId="3B7F5856" w16cid:durableId="1FFA91B7"/>
  <w16cid:commentId w16cid:paraId="25F88BA9" w16cid:durableId="1FFAED0E"/>
  <w16cid:commentId w16cid:paraId="4B129F58" w16cid:durableId="1FFAF10F"/>
  <w16cid:commentId w16cid:paraId="2477E1B7" w16cid:durableId="1FFB07F5"/>
  <w16cid:commentId w16cid:paraId="261AEECB" w16cid:durableId="1FE0BFDE"/>
  <w16cid:commentId w16cid:paraId="724795E5" w16cid:durableId="1FFB0633"/>
  <w16cid:commentId w16cid:paraId="3F4E5C37" w16cid:durableId="1FFB0BCF"/>
  <w16cid:commentId w16cid:paraId="3C3484B8" w16cid:durableId="1FF00595"/>
  <w16cid:commentId w16cid:paraId="7F5D0D71" w16cid:durableId="1FFB0DE0"/>
  <w16cid:commentId w16cid:paraId="2FD9A123" w16cid:durableId="1FFAF8D3"/>
  <w16cid:commentId w16cid:paraId="0EB6F544" w16cid:durableId="1FFC1A27"/>
  <w16cid:commentId w16cid:paraId="1BEBF956" w16cid:durableId="1FF9EDF8"/>
  <w16cid:commentId w16cid:paraId="46C92498" w16cid:durableId="1FF9EF48"/>
  <w16cid:commentId w16cid:paraId="2D8DB895" w16cid:durableId="1FF9EC94"/>
  <w16cid:commentId w16cid:paraId="30EEEC0B" w16cid:durableId="1FF9EDCB"/>
  <w16cid:commentId w16cid:paraId="58E23983" w16cid:durableId="1FF9EE7D"/>
  <w16cid:commentId w16cid:paraId="4F922E0A" w16cid:durableId="1FFD5520"/>
  <w16cid:commentId w16cid:paraId="4A076C8F" w16cid:durableId="1FFD5591"/>
  <w16cid:commentId w16cid:paraId="1F6A74F9" w16cid:durableId="1FFD5450"/>
  <w16cid:commentId w16cid:paraId="52163EC9" w16cid:durableId="1FFC4CE4"/>
  <w16cid:commentId w16cid:paraId="3A73860D" w16cid:durableId="1FFC17CA"/>
  <w16cid:commentId w16cid:paraId="43305C59" w16cid:durableId="2003E658"/>
  <w16cid:commentId w16cid:paraId="544C2C51" w16cid:durableId="20052010"/>
  <w16cid:commentId w16cid:paraId="4A23E23A" w16cid:durableId="20052EFD"/>
  <w16cid:commentId w16cid:paraId="4035E0F0" w16cid:durableId="20052F0E"/>
  <w16cid:commentId w16cid:paraId="46E225BE" w16cid:durableId="1FFD7F83"/>
  <w16cid:commentId w16cid:paraId="6CCEB3AD" w16cid:durableId="1FFAE2FC"/>
  <w16cid:commentId w16cid:paraId="50CFE2E4" w16cid:durableId="1FFAE191"/>
  <w16cid:commentId w16cid:paraId="47D17696" w16cid:durableId="2002DC6F"/>
  <w16cid:commentId w16cid:paraId="515004DB" w16cid:durableId="20052FC7"/>
  <w16cid:commentId w16cid:paraId="38A9617F" w16cid:durableId="1FFD9CFF"/>
  <w16cid:commentId w16cid:paraId="2506C2ED" w16cid:durableId="20054822"/>
  <w16cid:commentId w16cid:paraId="6B4C8BA6" w16cid:durableId="20052272"/>
  <w16cid:commentId w16cid:paraId="01F291BD" w16cid:durableId="20054809"/>
  <w16cid:commentId w16cid:paraId="53624E47" w16cid:durableId="1FF9F8D8"/>
  <w16cid:commentId w16cid:paraId="7D61D281" w16cid:durableId="1FFD610D"/>
  <w16cid:commentId w16cid:paraId="2CD5A177" w16cid:durableId="1FFD5B64"/>
  <w16cid:commentId w16cid:paraId="068A5F7C" w16cid:durableId="1FF5C897"/>
  <w16cid:commentId w16cid:paraId="47FCC34F" w16cid:durableId="1FBEADDB"/>
  <w16cid:commentId w16cid:paraId="46DD992F" w16cid:durableId="1FC25108"/>
  <w16cid:commentId w16cid:paraId="2851E777" w16cid:durableId="20053611"/>
  <w16cid:commentId w16cid:paraId="1B27D17E" w16cid:durableId="20040590"/>
  <w16cid:commentId w16cid:paraId="4FA7E347" w16cid:durableId="2005374D"/>
  <w16cid:commentId w16cid:paraId="00B2793C" w16cid:durableId="2005373B"/>
  <w16cid:commentId w16cid:paraId="32BF38EC" w16cid:durableId="20057B8B"/>
  <w16cid:commentId w16cid:paraId="428559D4" w16cid:durableId="1FBD30F2"/>
  <w16cid:commentId w16cid:paraId="10D3FEA6" w16cid:durableId="1FC489CC"/>
  <w16cid:commentId w16cid:paraId="44A9FE76" w16cid:durableId="20057C07"/>
  <w16cid:commentId w16cid:paraId="3F9C92F6" w16cid:durableId="1FBCE32E"/>
  <w16cid:commentId w16cid:paraId="74BEABA0" w16cid:durableId="1FBCE356"/>
  <w16cid:commentId w16cid:paraId="51CB052C" w16cid:durableId="1FFEE78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2849" w:rsidRDefault="00F22849">
      <w:r>
        <w:separator/>
      </w:r>
    </w:p>
  </w:endnote>
  <w:endnote w:type="continuationSeparator" w:id="0">
    <w:p w:rsidR="00F22849" w:rsidRDefault="00F22849">
      <w:r>
        <w:continuationSeparator/>
      </w:r>
    </w:p>
  </w:endnote>
  <w:endnote w:type="continuationNotice" w:id="1">
    <w:p w:rsidR="00F22849" w:rsidRDefault="00F228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452C" w:rsidRDefault="007F452C" w:rsidP="00CB64A6">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452C" w:rsidRDefault="007F452C" w:rsidP="00CB64A6">
    <w:pPr>
      <w:pStyle w:val="Footer"/>
      <w:jc w:val="right"/>
    </w:pPr>
  </w:p>
  <w:p w:rsidR="007F452C" w:rsidRDefault="007F452C" w:rsidP="00CB64A6">
    <w:pPr>
      <w:pStyle w:val="Footer"/>
      <w:jc w:val="right"/>
    </w:pPr>
    <w:r>
      <w:fldChar w:fldCharType="begin"/>
    </w:r>
    <w:r>
      <w:instrText>PAGE   \* MERGEFORMAT</w:instrText>
    </w:r>
    <w:r>
      <w:fldChar w:fldCharType="separate"/>
    </w:r>
    <w:r w:rsidR="00220DDE" w:rsidRPr="00220DDE">
      <w:rPr>
        <w:noProof/>
        <w:lang w:val="nb-NO"/>
      </w:rPr>
      <w:t>32</w:t>
    </w:r>
    <w:r>
      <w:rPr>
        <w:noProof/>
        <w:lang w:val="nb-NO"/>
      </w:rPr>
      <w:fldChar w:fldCharType="end"/>
    </w:r>
    <w:r>
      <w:t xml:space="preserve"> / 33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2849" w:rsidRDefault="00F22849">
      <w:r>
        <w:separator/>
      </w:r>
    </w:p>
  </w:footnote>
  <w:footnote w:type="continuationSeparator" w:id="0">
    <w:p w:rsidR="00F22849" w:rsidRDefault="00F22849">
      <w:r>
        <w:continuationSeparator/>
      </w:r>
    </w:p>
  </w:footnote>
  <w:footnote w:type="continuationNotice" w:id="1">
    <w:p w:rsidR="00F22849" w:rsidRDefault="00F2284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452C" w:rsidRDefault="007F452C" w:rsidP="00CB64A6">
    <w:pPr>
      <w:rPr>
        <w:rFonts w:asciiTheme="minorHAnsi" w:hAnsiTheme="minorHAnsi" w:cstheme="minorHAnsi"/>
        <w:sz w:val="18"/>
        <w:szCs w:val="18"/>
        <w:lang w:val="en-US"/>
      </w:rPr>
    </w:pPr>
  </w:p>
  <w:p w:rsidR="007F452C" w:rsidRPr="00CB64A6" w:rsidRDefault="007F452C" w:rsidP="00CB64A6">
    <w:pPr>
      <w:jc w:val="right"/>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452C" w:rsidRDefault="007F452C">
    <w:pPr>
      <w:pStyle w:val="Header"/>
    </w:pPr>
  </w:p>
  <w:p w:rsidR="007F452C" w:rsidRDefault="007F45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95BC4"/>
    <w:multiLevelType w:val="hybridMultilevel"/>
    <w:tmpl w:val="7D140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1901F0"/>
    <w:multiLevelType w:val="multilevel"/>
    <w:tmpl w:val="E54A0286"/>
    <w:lvl w:ilvl="0">
      <w:start w:val="1"/>
      <w:numFmt w:val="decimal"/>
      <w:lvlText w:val="%1."/>
      <w:lvlJc w:val="left"/>
      <w:pPr>
        <w:ind w:left="360" w:hanging="360"/>
      </w:pPr>
      <w:rPr>
        <w:rFonts w:hint="default"/>
        <w:b/>
      </w:rPr>
    </w:lvl>
    <w:lvl w:ilvl="1">
      <w:start w:val="4"/>
      <w:numFmt w:val="decimal"/>
      <w:lvlText w:val="%1.%2."/>
      <w:lvlJc w:val="left"/>
      <w:pPr>
        <w:ind w:left="144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560" w:hanging="1800"/>
      </w:pPr>
      <w:rPr>
        <w:rFonts w:hint="default"/>
        <w:b/>
      </w:rPr>
    </w:lvl>
  </w:abstractNum>
  <w:abstractNum w:abstractNumId="2">
    <w:nsid w:val="050A6E0C"/>
    <w:multiLevelType w:val="hybridMultilevel"/>
    <w:tmpl w:val="0EF4E5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8317AAC"/>
    <w:multiLevelType w:val="multilevel"/>
    <w:tmpl w:val="F34EBD4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87E7D72"/>
    <w:multiLevelType w:val="multilevel"/>
    <w:tmpl w:val="8D300282"/>
    <w:lvl w:ilvl="0">
      <w:start w:val="1"/>
      <w:numFmt w:val="decimal"/>
      <w:pStyle w:val="Heading1"/>
      <w:lvlText w:val="%1"/>
      <w:lvlJc w:val="left"/>
      <w:pPr>
        <w:tabs>
          <w:tab w:val="num" w:pos="2126"/>
        </w:tabs>
        <w:ind w:left="2126" w:hanging="1134"/>
      </w:pPr>
    </w:lvl>
    <w:lvl w:ilvl="1">
      <w:start w:val="1"/>
      <w:numFmt w:val="decimal"/>
      <w:pStyle w:val="Heading2"/>
      <w:lvlText w:val="%1.%2"/>
      <w:lvlJc w:val="left"/>
      <w:pPr>
        <w:tabs>
          <w:tab w:val="num" w:pos="1418"/>
        </w:tabs>
        <w:ind w:left="1418" w:hanging="1134"/>
      </w:pPr>
    </w:lvl>
    <w:lvl w:ilvl="2">
      <w:start w:val="1"/>
      <w:numFmt w:val="decimal"/>
      <w:pStyle w:val="Heading3"/>
      <w:lvlText w:val="%1.%2.%3"/>
      <w:lvlJc w:val="left"/>
      <w:pPr>
        <w:tabs>
          <w:tab w:val="num" w:pos="1276"/>
        </w:tabs>
        <w:ind w:left="1276" w:hanging="1134"/>
      </w:pPr>
    </w:lvl>
    <w:lvl w:ilvl="3">
      <w:start w:val="1"/>
      <w:numFmt w:val="decimal"/>
      <w:lvlText w:val="%1.%2.%3.%4"/>
      <w:lvlJc w:val="left"/>
      <w:pPr>
        <w:tabs>
          <w:tab w:val="num" w:pos="1134"/>
        </w:tabs>
        <w:ind w:left="1134" w:hanging="1134"/>
      </w:pPr>
    </w:lvl>
    <w:lvl w:ilvl="4">
      <w:start w:val="1"/>
      <w:numFmt w:val="decimal"/>
      <w:lvlText w:val="%1.%2.%3.%4.%5"/>
      <w:lvlJc w:val="left"/>
      <w:pPr>
        <w:tabs>
          <w:tab w:val="num" w:pos="1134"/>
        </w:tabs>
        <w:ind w:left="1134" w:hanging="1134"/>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701"/>
        </w:tabs>
        <w:ind w:left="1701" w:hanging="1701"/>
      </w:pPr>
    </w:lvl>
    <w:lvl w:ilvl="7">
      <w:start w:val="1"/>
      <w:numFmt w:val="decimal"/>
      <w:lvlText w:val="%1.%2.%3.%4.%5.%6.%7.%8"/>
      <w:lvlJc w:val="left"/>
      <w:pPr>
        <w:tabs>
          <w:tab w:val="num" w:pos="1701"/>
        </w:tabs>
        <w:ind w:left="1701" w:hanging="1701"/>
      </w:pPr>
    </w:lvl>
    <w:lvl w:ilvl="8">
      <w:start w:val="1"/>
      <w:numFmt w:val="decimal"/>
      <w:lvlText w:val="%1.%2.%3.%4.%5.%6.%7.%8.%9"/>
      <w:lvlJc w:val="left"/>
      <w:pPr>
        <w:tabs>
          <w:tab w:val="num" w:pos="1701"/>
        </w:tabs>
        <w:ind w:left="1701" w:hanging="1701"/>
      </w:pPr>
    </w:lvl>
  </w:abstractNum>
  <w:abstractNum w:abstractNumId="5">
    <w:nsid w:val="08973EA3"/>
    <w:multiLevelType w:val="hybridMultilevel"/>
    <w:tmpl w:val="6512E5F8"/>
    <w:lvl w:ilvl="0" w:tplc="C730FF42">
      <w:start w:val="4"/>
      <w:numFmt w:val="lowerLetter"/>
      <w:lvlText w:val="%1)"/>
      <w:lvlJc w:val="left"/>
      <w:pPr>
        <w:ind w:left="501" w:hanging="360"/>
      </w:pPr>
      <w:rPr>
        <w:rFonts w:hint="default"/>
      </w:rPr>
    </w:lvl>
    <w:lvl w:ilvl="1" w:tplc="04140019" w:tentative="1">
      <w:start w:val="1"/>
      <w:numFmt w:val="lowerLetter"/>
      <w:lvlText w:val="%2."/>
      <w:lvlJc w:val="left"/>
      <w:pPr>
        <w:ind w:left="1221" w:hanging="360"/>
      </w:pPr>
    </w:lvl>
    <w:lvl w:ilvl="2" w:tplc="0414001B" w:tentative="1">
      <w:start w:val="1"/>
      <w:numFmt w:val="lowerRoman"/>
      <w:lvlText w:val="%3."/>
      <w:lvlJc w:val="right"/>
      <w:pPr>
        <w:ind w:left="1941" w:hanging="180"/>
      </w:pPr>
    </w:lvl>
    <w:lvl w:ilvl="3" w:tplc="0414000F" w:tentative="1">
      <w:start w:val="1"/>
      <w:numFmt w:val="decimal"/>
      <w:lvlText w:val="%4."/>
      <w:lvlJc w:val="left"/>
      <w:pPr>
        <w:ind w:left="2661" w:hanging="360"/>
      </w:pPr>
    </w:lvl>
    <w:lvl w:ilvl="4" w:tplc="04140019" w:tentative="1">
      <w:start w:val="1"/>
      <w:numFmt w:val="lowerLetter"/>
      <w:lvlText w:val="%5."/>
      <w:lvlJc w:val="left"/>
      <w:pPr>
        <w:ind w:left="3381" w:hanging="360"/>
      </w:pPr>
    </w:lvl>
    <w:lvl w:ilvl="5" w:tplc="0414001B" w:tentative="1">
      <w:start w:val="1"/>
      <w:numFmt w:val="lowerRoman"/>
      <w:lvlText w:val="%6."/>
      <w:lvlJc w:val="right"/>
      <w:pPr>
        <w:ind w:left="4101" w:hanging="180"/>
      </w:pPr>
    </w:lvl>
    <w:lvl w:ilvl="6" w:tplc="0414000F" w:tentative="1">
      <w:start w:val="1"/>
      <w:numFmt w:val="decimal"/>
      <w:lvlText w:val="%7."/>
      <w:lvlJc w:val="left"/>
      <w:pPr>
        <w:ind w:left="4821" w:hanging="360"/>
      </w:pPr>
    </w:lvl>
    <w:lvl w:ilvl="7" w:tplc="04140019" w:tentative="1">
      <w:start w:val="1"/>
      <w:numFmt w:val="lowerLetter"/>
      <w:lvlText w:val="%8."/>
      <w:lvlJc w:val="left"/>
      <w:pPr>
        <w:ind w:left="5541" w:hanging="360"/>
      </w:pPr>
    </w:lvl>
    <w:lvl w:ilvl="8" w:tplc="0414001B" w:tentative="1">
      <w:start w:val="1"/>
      <w:numFmt w:val="lowerRoman"/>
      <w:lvlText w:val="%9."/>
      <w:lvlJc w:val="right"/>
      <w:pPr>
        <w:ind w:left="6261" w:hanging="180"/>
      </w:pPr>
    </w:lvl>
  </w:abstractNum>
  <w:abstractNum w:abstractNumId="6">
    <w:nsid w:val="0C2D3C4C"/>
    <w:multiLevelType w:val="hybridMultilevel"/>
    <w:tmpl w:val="12B4CBF4"/>
    <w:lvl w:ilvl="0" w:tplc="D0BE8412">
      <w:start w:val="1"/>
      <w:numFmt w:val="lowerLetter"/>
      <w:lvlText w:val="%1)"/>
      <w:lvlJc w:val="left"/>
      <w:pPr>
        <w:ind w:left="786" w:hanging="360"/>
      </w:pPr>
      <w:rPr>
        <w:b/>
        <w:sz w:val="24"/>
        <w:szCs w:val="24"/>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nsid w:val="0D0B12DB"/>
    <w:multiLevelType w:val="multilevel"/>
    <w:tmpl w:val="3A3C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EC831E7"/>
    <w:multiLevelType w:val="hybridMultilevel"/>
    <w:tmpl w:val="698EF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316DB8"/>
    <w:multiLevelType w:val="hybridMultilevel"/>
    <w:tmpl w:val="7236F15A"/>
    <w:lvl w:ilvl="0" w:tplc="6D92FB3A">
      <w:start w:val="1"/>
      <w:numFmt w:val="decimal"/>
      <w:lvlText w:val="%1)"/>
      <w:lvlJc w:val="left"/>
      <w:pPr>
        <w:ind w:left="720" w:hanging="360"/>
      </w:pPr>
      <w:rPr>
        <w:rFonts w:ascii="Calibri" w:hAnsi="Calibri"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nsid w:val="10AF3015"/>
    <w:multiLevelType w:val="multilevel"/>
    <w:tmpl w:val="96082610"/>
    <w:name w:val="Lista con viñetas 9"/>
    <w:lvl w:ilvl="0">
      <w:start w:val="1"/>
      <w:numFmt w:val="bullet"/>
      <w:pStyle w:val="ListBullet"/>
      <w:lvlText w:val=""/>
      <w:lvlJc w:val="left"/>
      <w:pPr>
        <w:ind w:left="284" w:hanging="284"/>
      </w:pPr>
      <w:rPr>
        <w:rFonts w:ascii="Wingdings 2" w:hAnsi="Wingdings 2" w:hint="default"/>
        <w:color w:val="E36C0A" w:themeColor="accent6" w:themeShade="BF"/>
        <w:sz w:val="20"/>
      </w:rPr>
    </w:lvl>
    <w:lvl w:ilvl="1">
      <w:start w:val="1"/>
      <w:numFmt w:val="bullet"/>
      <w:pStyle w:val="ListBullet2"/>
      <w:lvlText w:val=""/>
      <w:lvlJc w:val="left"/>
      <w:pPr>
        <w:ind w:left="568" w:hanging="284"/>
      </w:pPr>
      <w:rPr>
        <w:rFonts w:ascii="Wingdings" w:hAnsi="Wingdings" w:hint="default"/>
        <w:color w:val="6FAEDC"/>
        <w:sz w:val="20"/>
      </w:rPr>
    </w:lvl>
    <w:lvl w:ilvl="2">
      <w:start w:val="1"/>
      <w:numFmt w:val="bullet"/>
      <w:pStyle w:val="ListBullet3"/>
      <w:lvlText w:val=""/>
      <w:lvlJc w:val="left"/>
      <w:pPr>
        <w:ind w:left="852" w:hanging="284"/>
      </w:pPr>
      <w:rPr>
        <w:rFonts w:ascii="Wingdings" w:hAnsi="Wingdings" w:hint="default"/>
        <w:color w:val="6FAEDC"/>
        <w:sz w:val="20"/>
      </w:rPr>
    </w:lvl>
    <w:lvl w:ilvl="3">
      <w:start w:val="1"/>
      <w:numFmt w:val="bullet"/>
      <w:pStyle w:val="ListBullet4"/>
      <w:lvlText w:val="◦"/>
      <w:lvlJc w:val="left"/>
      <w:pPr>
        <w:ind w:left="1136" w:hanging="284"/>
      </w:pPr>
      <w:rPr>
        <w:rFonts w:ascii="Calibri" w:hAnsi="Calibri" w:hint="default"/>
        <w:color w:val="6FAEDC"/>
        <w:sz w:val="20"/>
      </w:rPr>
    </w:lvl>
    <w:lvl w:ilvl="4">
      <w:start w:val="1"/>
      <w:numFmt w:val="bullet"/>
      <w:pStyle w:val="ListBullet5"/>
      <w:lvlText w:val=""/>
      <w:lvlJc w:val="left"/>
      <w:pPr>
        <w:ind w:left="1420" w:hanging="284"/>
      </w:pPr>
      <w:rPr>
        <w:rFonts w:ascii="Wingdings 2" w:hAnsi="Wingdings 2" w:hint="default"/>
        <w:color w:val="6FAEDC"/>
        <w:sz w:val="20"/>
      </w:rPr>
    </w:lvl>
    <w:lvl w:ilvl="5">
      <w:start w:val="1"/>
      <w:numFmt w:val="bullet"/>
      <w:pStyle w:val="Listaconvietas6"/>
      <w:lvlText w:val=""/>
      <w:lvlJc w:val="left"/>
      <w:pPr>
        <w:ind w:left="1701" w:hanging="281"/>
      </w:pPr>
      <w:rPr>
        <w:rFonts w:ascii="Wingdings" w:hAnsi="Wingdings" w:hint="default"/>
        <w:color w:val="6FAEDC"/>
        <w:sz w:val="20"/>
      </w:rPr>
    </w:lvl>
    <w:lvl w:ilvl="6">
      <w:start w:val="1"/>
      <w:numFmt w:val="bullet"/>
      <w:pStyle w:val="Listaconvietas7"/>
      <w:lvlText w:val=""/>
      <w:lvlJc w:val="left"/>
      <w:pPr>
        <w:ind w:left="1985" w:hanging="284"/>
      </w:pPr>
      <w:rPr>
        <w:rFonts w:ascii="Wingdings" w:hAnsi="Wingdings" w:hint="default"/>
        <w:color w:val="6FAEDC"/>
        <w:sz w:val="20"/>
      </w:rPr>
    </w:lvl>
    <w:lvl w:ilvl="7">
      <w:start w:val="1"/>
      <w:numFmt w:val="bullet"/>
      <w:pStyle w:val="Listaconvietas8"/>
      <w:lvlText w:val="◦"/>
      <w:lvlJc w:val="left"/>
      <w:pPr>
        <w:ind w:left="2268" w:hanging="283"/>
      </w:pPr>
      <w:rPr>
        <w:rFonts w:ascii="Calibri" w:hAnsi="Calibri" w:hint="default"/>
        <w:color w:val="6FAEDC"/>
        <w:sz w:val="20"/>
      </w:rPr>
    </w:lvl>
    <w:lvl w:ilvl="8">
      <w:start w:val="1"/>
      <w:numFmt w:val="bullet"/>
      <w:pStyle w:val="Listaconvietas9"/>
      <w:lvlText w:val="-"/>
      <w:lvlJc w:val="left"/>
      <w:pPr>
        <w:ind w:left="5529" w:hanging="284"/>
      </w:pPr>
      <w:rPr>
        <w:rFonts w:ascii="Calibri" w:hAnsi="Calibri" w:hint="default"/>
        <w:color w:val="6FAEDC"/>
        <w:sz w:val="20"/>
      </w:rPr>
    </w:lvl>
  </w:abstractNum>
  <w:abstractNum w:abstractNumId="11">
    <w:nsid w:val="112D25BB"/>
    <w:multiLevelType w:val="multilevel"/>
    <w:tmpl w:val="40F68D2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47919F1"/>
    <w:multiLevelType w:val="multilevel"/>
    <w:tmpl w:val="AF387AE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6236DD5"/>
    <w:multiLevelType w:val="hybridMultilevel"/>
    <w:tmpl w:val="E116877E"/>
    <w:lvl w:ilvl="0" w:tplc="04130001">
      <w:start w:val="1"/>
      <w:numFmt w:val="bullet"/>
      <w:lvlText w:val=""/>
      <w:lvlJc w:val="left"/>
      <w:pPr>
        <w:ind w:left="360" w:hanging="360"/>
      </w:pPr>
      <w:rPr>
        <w:rFonts w:ascii="Symbol" w:hAnsi="Symbol" w:hint="default"/>
        <w:b w:val="0"/>
      </w:rPr>
    </w:lvl>
    <w:lvl w:ilvl="1" w:tplc="5FF0D21C">
      <w:numFmt w:val="bullet"/>
      <w:lvlText w:val="-"/>
      <w:lvlJc w:val="left"/>
      <w:pPr>
        <w:ind w:left="1080" w:hanging="360"/>
      </w:pPr>
      <w:rPr>
        <w:rFonts w:ascii="Calibri" w:eastAsia="Times New Roman"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nsid w:val="16404BCE"/>
    <w:multiLevelType w:val="hybridMultilevel"/>
    <w:tmpl w:val="41688100"/>
    <w:lvl w:ilvl="0" w:tplc="7C5688C4">
      <w:start w:val="1"/>
      <w:numFmt w:val="decimal"/>
      <w:lvlText w:val="%1."/>
      <w:lvlJc w:val="left"/>
      <w:pPr>
        <w:ind w:left="2610" w:hanging="2250"/>
      </w:pPr>
      <w:rPr>
        <w:rFonts w:ascii="Calibri" w:hAnsi="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87752B"/>
    <w:multiLevelType w:val="hybridMultilevel"/>
    <w:tmpl w:val="6C6A8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D630D2D"/>
    <w:multiLevelType w:val="hybridMultilevel"/>
    <w:tmpl w:val="364ECE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1DAA362B"/>
    <w:multiLevelType w:val="multilevel"/>
    <w:tmpl w:val="57AA76CC"/>
    <w:lvl w:ilvl="0">
      <w:start w:val="1"/>
      <w:numFmt w:val="decimal"/>
      <w:lvlText w:val="%1."/>
      <w:lvlJc w:val="left"/>
      <w:pPr>
        <w:ind w:left="720" w:hanging="360"/>
      </w:pPr>
      <w:rPr>
        <w:rFonts w:cstheme="minorBidi" w:hint="default"/>
      </w:rPr>
    </w:lvl>
    <w:lvl w:ilvl="1">
      <w:start w:val="5"/>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8">
    <w:nsid w:val="1F651A20"/>
    <w:multiLevelType w:val="multilevel"/>
    <w:tmpl w:val="EDDE0976"/>
    <w:lvl w:ilvl="0">
      <w:start w:val="1"/>
      <w:numFmt w:val="lowerLetter"/>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9">
    <w:nsid w:val="1F960609"/>
    <w:multiLevelType w:val="hybridMultilevel"/>
    <w:tmpl w:val="81926062"/>
    <w:lvl w:ilvl="0" w:tplc="359E7BA2">
      <w:start w:val="1"/>
      <w:numFmt w:val="decimal"/>
      <w:pStyle w:val="Heading4"/>
      <w:lvlText w:val="1.1.1.%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nsid w:val="212552D4"/>
    <w:multiLevelType w:val="hybridMultilevel"/>
    <w:tmpl w:val="8284A554"/>
    <w:lvl w:ilvl="0" w:tplc="1D908022">
      <w:start w:val="3"/>
      <w:numFmt w:val="lowerLetter"/>
      <w:lvlText w:val="%1)"/>
      <w:lvlJc w:val="left"/>
      <w:pPr>
        <w:ind w:left="720" w:hanging="360"/>
      </w:pPr>
      <w:rPr>
        <w:rFonts w:hint="default"/>
        <w:b/>
        <w:i w:val="0"/>
        <w:sz w:val="24"/>
        <w:szCs w:val="24"/>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nsid w:val="226A664E"/>
    <w:multiLevelType w:val="hybridMultilevel"/>
    <w:tmpl w:val="2A5C7490"/>
    <w:lvl w:ilvl="0" w:tplc="04140001">
      <w:start w:val="1"/>
      <w:numFmt w:val="bullet"/>
      <w:lvlText w:val=""/>
      <w:lvlJc w:val="left"/>
      <w:pPr>
        <w:ind w:left="770" w:hanging="360"/>
      </w:pPr>
      <w:rPr>
        <w:rFonts w:ascii="Symbol" w:hAnsi="Symbol" w:hint="default"/>
      </w:rPr>
    </w:lvl>
    <w:lvl w:ilvl="1" w:tplc="04140003">
      <w:start w:val="1"/>
      <w:numFmt w:val="bullet"/>
      <w:lvlText w:val="o"/>
      <w:lvlJc w:val="left"/>
      <w:pPr>
        <w:ind w:left="1490" w:hanging="360"/>
      </w:pPr>
      <w:rPr>
        <w:rFonts w:ascii="Courier New" w:hAnsi="Courier New" w:cs="Courier New" w:hint="default"/>
      </w:rPr>
    </w:lvl>
    <w:lvl w:ilvl="2" w:tplc="04140005">
      <w:start w:val="1"/>
      <w:numFmt w:val="bullet"/>
      <w:lvlText w:val=""/>
      <w:lvlJc w:val="left"/>
      <w:pPr>
        <w:ind w:left="2210" w:hanging="360"/>
      </w:pPr>
      <w:rPr>
        <w:rFonts w:ascii="Wingdings" w:hAnsi="Wingdings" w:hint="default"/>
      </w:rPr>
    </w:lvl>
    <w:lvl w:ilvl="3" w:tplc="04140001">
      <w:start w:val="1"/>
      <w:numFmt w:val="bullet"/>
      <w:lvlText w:val=""/>
      <w:lvlJc w:val="left"/>
      <w:pPr>
        <w:ind w:left="2930" w:hanging="360"/>
      </w:pPr>
      <w:rPr>
        <w:rFonts w:ascii="Symbol" w:hAnsi="Symbol" w:hint="default"/>
      </w:rPr>
    </w:lvl>
    <w:lvl w:ilvl="4" w:tplc="04140003">
      <w:start w:val="1"/>
      <w:numFmt w:val="bullet"/>
      <w:lvlText w:val="o"/>
      <w:lvlJc w:val="left"/>
      <w:pPr>
        <w:ind w:left="3650" w:hanging="360"/>
      </w:pPr>
      <w:rPr>
        <w:rFonts w:ascii="Courier New" w:hAnsi="Courier New" w:cs="Courier New" w:hint="default"/>
      </w:rPr>
    </w:lvl>
    <w:lvl w:ilvl="5" w:tplc="04140005">
      <w:start w:val="1"/>
      <w:numFmt w:val="bullet"/>
      <w:lvlText w:val=""/>
      <w:lvlJc w:val="left"/>
      <w:pPr>
        <w:ind w:left="4370" w:hanging="360"/>
      </w:pPr>
      <w:rPr>
        <w:rFonts w:ascii="Wingdings" w:hAnsi="Wingdings" w:hint="default"/>
      </w:rPr>
    </w:lvl>
    <w:lvl w:ilvl="6" w:tplc="04140001">
      <w:start w:val="1"/>
      <w:numFmt w:val="bullet"/>
      <w:lvlText w:val=""/>
      <w:lvlJc w:val="left"/>
      <w:pPr>
        <w:ind w:left="5090" w:hanging="360"/>
      </w:pPr>
      <w:rPr>
        <w:rFonts w:ascii="Symbol" w:hAnsi="Symbol" w:hint="default"/>
      </w:rPr>
    </w:lvl>
    <w:lvl w:ilvl="7" w:tplc="04140003">
      <w:start w:val="1"/>
      <w:numFmt w:val="bullet"/>
      <w:lvlText w:val="o"/>
      <w:lvlJc w:val="left"/>
      <w:pPr>
        <w:ind w:left="5810" w:hanging="360"/>
      </w:pPr>
      <w:rPr>
        <w:rFonts w:ascii="Courier New" w:hAnsi="Courier New" w:cs="Courier New" w:hint="default"/>
      </w:rPr>
    </w:lvl>
    <w:lvl w:ilvl="8" w:tplc="04140005">
      <w:start w:val="1"/>
      <w:numFmt w:val="bullet"/>
      <w:lvlText w:val=""/>
      <w:lvlJc w:val="left"/>
      <w:pPr>
        <w:ind w:left="6530" w:hanging="360"/>
      </w:pPr>
      <w:rPr>
        <w:rFonts w:ascii="Wingdings" w:hAnsi="Wingdings" w:hint="default"/>
      </w:rPr>
    </w:lvl>
  </w:abstractNum>
  <w:abstractNum w:abstractNumId="22">
    <w:nsid w:val="22820596"/>
    <w:multiLevelType w:val="multilevel"/>
    <w:tmpl w:val="3C305DDA"/>
    <w:styleLink w:val="StyleBulleted"/>
    <w:lvl w:ilvl="0">
      <w:start w:val="1"/>
      <w:numFmt w:val="bullet"/>
      <w:lvlText w:val=""/>
      <w:lvlJc w:val="left"/>
      <w:pPr>
        <w:tabs>
          <w:tab w:val="num" w:pos="1911"/>
        </w:tabs>
        <w:ind w:left="2742" w:hanging="360"/>
      </w:pPr>
      <w:rPr>
        <w:rFonts w:ascii="Symbol" w:hAnsi="Symbol"/>
        <w:sz w:val="24"/>
      </w:rPr>
    </w:lvl>
    <w:lvl w:ilvl="1">
      <w:start w:val="1"/>
      <w:numFmt w:val="bullet"/>
      <w:lvlText w:val="o"/>
      <w:lvlJc w:val="left"/>
      <w:pPr>
        <w:tabs>
          <w:tab w:val="num" w:pos="2631"/>
        </w:tabs>
        <w:ind w:left="2631" w:hanging="360"/>
      </w:pPr>
      <w:rPr>
        <w:rFonts w:ascii="Courier New" w:hAnsi="Courier New" w:hint="default"/>
      </w:rPr>
    </w:lvl>
    <w:lvl w:ilvl="2">
      <w:start w:val="1"/>
      <w:numFmt w:val="bullet"/>
      <w:lvlText w:val=""/>
      <w:lvlJc w:val="left"/>
      <w:pPr>
        <w:tabs>
          <w:tab w:val="num" w:pos="3351"/>
        </w:tabs>
        <w:ind w:left="3351" w:hanging="360"/>
      </w:pPr>
      <w:rPr>
        <w:rFonts w:ascii="Wingdings" w:hAnsi="Wingdings" w:hint="default"/>
      </w:rPr>
    </w:lvl>
    <w:lvl w:ilvl="3">
      <w:start w:val="1"/>
      <w:numFmt w:val="bullet"/>
      <w:lvlText w:val=""/>
      <w:lvlJc w:val="left"/>
      <w:pPr>
        <w:tabs>
          <w:tab w:val="num" w:pos="4071"/>
        </w:tabs>
        <w:ind w:left="4071" w:hanging="360"/>
      </w:pPr>
      <w:rPr>
        <w:rFonts w:ascii="Symbol" w:hAnsi="Symbol" w:hint="default"/>
      </w:rPr>
    </w:lvl>
    <w:lvl w:ilvl="4">
      <w:start w:val="1"/>
      <w:numFmt w:val="bullet"/>
      <w:lvlText w:val="o"/>
      <w:lvlJc w:val="left"/>
      <w:pPr>
        <w:tabs>
          <w:tab w:val="num" w:pos="4791"/>
        </w:tabs>
        <w:ind w:left="4791" w:hanging="360"/>
      </w:pPr>
      <w:rPr>
        <w:rFonts w:ascii="Courier New" w:hAnsi="Courier New" w:hint="default"/>
      </w:rPr>
    </w:lvl>
    <w:lvl w:ilvl="5">
      <w:start w:val="1"/>
      <w:numFmt w:val="bullet"/>
      <w:lvlText w:val=""/>
      <w:lvlJc w:val="left"/>
      <w:pPr>
        <w:tabs>
          <w:tab w:val="num" w:pos="5511"/>
        </w:tabs>
        <w:ind w:left="5511" w:hanging="360"/>
      </w:pPr>
      <w:rPr>
        <w:rFonts w:ascii="Wingdings" w:hAnsi="Wingdings" w:hint="default"/>
      </w:rPr>
    </w:lvl>
    <w:lvl w:ilvl="6">
      <w:start w:val="1"/>
      <w:numFmt w:val="bullet"/>
      <w:lvlText w:val=""/>
      <w:lvlJc w:val="left"/>
      <w:pPr>
        <w:tabs>
          <w:tab w:val="num" w:pos="6231"/>
        </w:tabs>
        <w:ind w:left="6231" w:hanging="360"/>
      </w:pPr>
      <w:rPr>
        <w:rFonts w:ascii="Symbol" w:hAnsi="Symbol" w:hint="default"/>
      </w:rPr>
    </w:lvl>
    <w:lvl w:ilvl="7">
      <w:start w:val="1"/>
      <w:numFmt w:val="bullet"/>
      <w:lvlText w:val="o"/>
      <w:lvlJc w:val="left"/>
      <w:pPr>
        <w:tabs>
          <w:tab w:val="num" w:pos="6951"/>
        </w:tabs>
        <w:ind w:left="6951" w:hanging="360"/>
      </w:pPr>
      <w:rPr>
        <w:rFonts w:ascii="Courier New" w:hAnsi="Courier New" w:hint="default"/>
      </w:rPr>
    </w:lvl>
    <w:lvl w:ilvl="8">
      <w:start w:val="1"/>
      <w:numFmt w:val="bullet"/>
      <w:lvlText w:val=""/>
      <w:lvlJc w:val="left"/>
      <w:pPr>
        <w:tabs>
          <w:tab w:val="num" w:pos="7671"/>
        </w:tabs>
        <w:ind w:left="7671" w:hanging="360"/>
      </w:pPr>
      <w:rPr>
        <w:rFonts w:ascii="Wingdings" w:hAnsi="Wingdings" w:hint="default"/>
      </w:rPr>
    </w:lvl>
  </w:abstractNum>
  <w:abstractNum w:abstractNumId="23">
    <w:nsid w:val="232D2D5F"/>
    <w:multiLevelType w:val="hybridMultilevel"/>
    <w:tmpl w:val="A6A4559E"/>
    <w:lvl w:ilvl="0" w:tplc="F4FAB70E">
      <w:start w:val="1"/>
      <w:numFmt w:val="decimal"/>
      <w:lvlText w:val="%1."/>
      <w:lvlJc w:val="left"/>
      <w:pPr>
        <w:ind w:left="104" w:hanging="250"/>
      </w:pPr>
      <w:rPr>
        <w:rFonts w:ascii="Times New Roman" w:eastAsia="Times New Roman" w:hAnsi="Times New Roman" w:hint="default"/>
        <w:b w:val="0"/>
        <w:bCs/>
        <w:sz w:val="24"/>
        <w:szCs w:val="24"/>
      </w:rPr>
    </w:lvl>
    <w:lvl w:ilvl="1" w:tplc="890612BA">
      <w:start w:val="1"/>
      <w:numFmt w:val="bullet"/>
      <w:lvlText w:val="•"/>
      <w:lvlJc w:val="left"/>
      <w:pPr>
        <w:ind w:left="1046" w:hanging="250"/>
      </w:pPr>
      <w:rPr>
        <w:rFonts w:hint="default"/>
      </w:rPr>
    </w:lvl>
    <w:lvl w:ilvl="2" w:tplc="DCB46B50">
      <w:start w:val="1"/>
      <w:numFmt w:val="bullet"/>
      <w:lvlText w:val="•"/>
      <w:lvlJc w:val="left"/>
      <w:pPr>
        <w:ind w:left="1988" w:hanging="250"/>
      </w:pPr>
      <w:rPr>
        <w:rFonts w:hint="default"/>
      </w:rPr>
    </w:lvl>
    <w:lvl w:ilvl="3" w:tplc="65EC7398">
      <w:start w:val="1"/>
      <w:numFmt w:val="bullet"/>
      <w:lvlText w:val="•"/>
      <w:lvlJc w:val="left"/>
      <w:pPr>
        <w:ind w:left="2930" w:hanging="250"/>
      </w:pPr>
      <w:rPr>
        <w:rFonts w:hint="default"/>
      </w:rPr>
    </w:lvl>
    <w:lvl w:ilvl="4" w:tplc="F75894C2">
      <w:start w:val="1"/>
      <w:numFmt w:val="bullet"/>
      <w:lvlText w:val="•"/>
      <w:lvlJc w:val="left"/>
      <w:pPr>
        <w:ind w:left="3872" w:hanging="250"/>
      </w:pPr>
      <w:rPr>
        <w:rFonts w:hint="default"/>
      </w:rPr>
    </w:lvl>
    <w:lvl w:ilvl="5" w:tplc="48CC1DD2">
      <w:start w:val="1"/>
      <w:numFmt w:val="bullet"/>
      <w:lvlText w:val="•"/>
      <w:lvlJc w:val="left"/>
      <w:pPr>
        <w:ind w:left="4815" w:hanging="250"/>
      </w:pPr>
      <w:rPr>
        <w:rFonts w:hint="default"/>
      </w:rPr>
    </w:lvl>
    <w:lvl w:ilvl="6" w:tplc="66901704">
      <w:start w:val="1"/>
      <w:numFmt w:val="bullet"/>
      <w:lvlText w:val="•"/>
      <w:lvlJc w:val="left"/>
      <w:pPr>
        <w:ind w:left="5757" w:hanging="250"/>
      </w:pPr>
      <w:rPr>
        <w:rFonts w:hint="default"/>
      </w:rPr>
    </w:lvl>
    <w:lvl w:ilvl="7" w:tplc="48D80212">
      <w:start w:val="1"/>
      <w:numFmt w:val="bullet"/>
      <w:lvlText w:val="•"/>
      <w:lvlJc w:val="left"/>
      <w:pPr>
        <w:ind w:left="6699" w:hanging="250"/>
      </w:pPr>
      <w:rPr>
        <w:rFonts w:hint="default"/>
      </w:rPr>
    </w:lvl>
    <w:lvl w:ilvl="8" w:tplc="E5082354">
      <w:start w:val="1"/>
      <w:numFmt w:val="bullet"/>
      <w:lvlText w:val="•"/>
      <w:lvlJc w:val="left"/>
      <w:pPr>
        <w:ind w:left="7641" w:hanging="250"/>
      </w:pPr>
      <w:rPr>
        <w:rFonts w:hint="default"/>
      </w:rPr>
    </w:lvl>
  </w:abstractNum>
  <w:abstractNum w:abstractNumId="24">
    <w:nsid w:val="24C41E36"/>
    <w:multiLevelType w:val="multilevel"/>
    <w:tmpl w:val="4DFE67D4"/>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26472E59"/>
    <w:multiLevelType w:val="multilevel"/>
    <w:tmpl w:val="A9B2A43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2B1C1AF6"/>
    <w:multiLevelType w:val="hybridMultilevel"/>
    <w:tmpl w:val="C6F4FD7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2BE6579E"/>
    <w:multiLevelType w:val="hybridMultilevel"/>
    <w:tmpl w:val="324046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2DEC615D"/>
    <w:multiLevelType w:val="hybridMultilevel"/>
    <w:tmpl w:val="036CA1E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nsid w:val="2EE259C3"/>
    <w:multiLevelType w:val="hybridMultilevel"/>
    <w:tmpl w:val="752201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0D773FB"/>
    <w:multiLevelType w:val="hybridMultilevel"/>
    <w:tmpl w:val="5C3842EE"/>
    <w:lvl w:ilvl="0" w:tplc="FBDA6CFC">
      <w:start w:val="27"/>
      <w:numFmt w:val="decimal"/>
      <w:lvlText w:val="%1."/>
      <w:lvlJc w:val="left"/>
      <w:pPr>
        <w:ind w:left="104" w:hanging="392"/>
      </w:pPr>
      <w:rPr>
        <w:rFonts w:ascii="Times New Roman" w:eastAsia="Times New Roman" w:hAnsi="Times New Roman" w:hint="default"/>
        <w:b/>
        <w:bCs/>
        <w:sz w:val="24"/>
        <w:szCs w:val="24"/>
      </w:rPr>
    </w:lvl>
    <w:lvl w:ilvl="1" w:tplc="6A549900">
      <w:start w:val="1"/>
      <w:numFmt w:val="bullet"/>
      <w:lvlText w:val="•"/>
      <w:lvlJc w:val="left"/>
      <w:pPr>
        <w:ind w:left="1048" w:hanging="392"/>
      </w:pPr>
      <w:rPr>
        <w:rFonts w:hint="default"/>
      </w:rPr>
    </w:lvl>
    <w:lvl w:ilvl="2" w:tplc="08B6A94C">
      <w:start w:val="1"/>
      <w:numFmt w:val="bullet"/>
      <w:lvlText w:val="•"/>
      <w:lvlJc w:val="left"/>
      <w:pPr>
        <w:ind w:left="1992" w:hanging="392"/>
      </w:pPr>
      <w:rPr>
        <w:rFonts w:hint="default"/>
      </w:rPr>
    </w:lvl>
    <w:lvl w:ilvl="3" w:tplc="40AC6334">
      <w:start w:val="1"/>
      <w:numFmt w:val="bullet"/>
      <w:lvlText w:val="•"/>
      <w:lvlJc w:val="left"/>
      <w:pPr>
        <w:ind w:left="2936" w:hanging="392"/>
      </w:pPr>
      <w:rPr>
        <w:rFonts w:hint="default"/>
      </w:rPr>
    </w:lvl>
    <w:lvl w:ilvl="4" w:tplc="3E3CF840">
      <w:start w:val="1"/>
      <w:numFmt w:val="bullet"/>
      <w:lvlText w:val="•"/>
      <w:lvlJc w:val="left"/>
      <w:pPr>
        <w:ind w:left="3880" w:hanging="392"/>
      </w:pPr>
      <w:rPr>
        <w:rFonts w:hint="default"/>
      </w:rPr>
    </w:lvl>
    <w:lvl w:ilvl="5" w:tplc="4808ABCE">
      <w:start w:val="1"/>
      <w:numFmt w:val="bullet"/>
      <w:lvlText w:val="•"/>
      <w:lvlJc w:val="left"/>
      <w:pPr>
        <w:ind w:left="4825" w:hanging="392"/>
      </w:pPr>
      <w:rPr>
        <w:rFonts w:hint="default"/>
      </w:rPr>
    </w:lvl>
    <w:lvl w:ilvl="6" w:tplc="91061E0A">
      <w:start w:val="1"/>
      <w:numFmt w:val="bullet"/>
      <w:lvlText w:val="•"/>
      <w:lvlJc w:val="left"/>
      <w:pPr>
        <w:ind w:left="5769" w:hanging="392"/>
      </w:pPr>
      <w:rPr>
        <w:rFonts w:hint="default"/>
      </w:rPr>
    </w:lvl>
    <w:lvl w:ilvl="7" w:tplc="DCB48160">
      <w:start w:val="1"/>
      <w:numFmt w:val="bullet"/>
      <w:lvlText w:val="•"/>
      <w:lvlJc w:val="left"/>
      <w:pPr>
        <w:ind w:left="6713" w:hanging="392"/>
      </w:pPr>
      <w:rPr>
        <w:rFonts w:hint="default"/>
      </w:rPr>
    </w:lvl>
    <w:lvl w:ilvl="8" w:tplc="C7F80FFA">
      <w:start w:val="1"/>
      <w:numFmt w:val="bullet"/>
      <w:lvlText w:val="•"/>
      <w:lvlJc w:val="left"/>
      <w:pPr>
        <w:ind w:left="7657" w:hanging="392"/>
      </w:pPr>
      <w:rPr>
        <w:rFonts w:hint="default"/>
      </w:rPr>
    </w:lvl>
  </w:abstractNum>
  <w:abstractNum w:abstractNumId="31">
    <w:nsid w:val="33EA466C"/>
    <w:multiLevelType w:val="hybridMultilevel"/>
    <w:tmpl w:val="30DCDD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37A15227"/>
    <w:multiLevelType w:val="hybridMultilevel"/>
    <w:tmpl w:val="D182205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3">
    <w:nsid w:val="383D3208"/>
    <w:multiLevelType w:val="hybridMultilevel"/>
    <w:tmpl w:val="74100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BA30EE5"/>
    <w:multiLevelType w:val="hybridMultilevel"/>
    <w:tmpl w:val="52286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C1E090B"/>
    <w:multiLevelType w:val="hybridMultilevel"/>
    <w:tmpl w:val="FA6A66BE"/>
    <w:lvl w:ilvl="0" w:tplc="04090001">
      <w:start w:val="1"/>
      <w:numFmt w:val="bullet"/>
      <w:lvlText w:val=""/>
      <w:lvlJc w:val="left"/>
      <w:pPr>
        <w:ind w:left="720" w:hanging="360"/>
      </w:pPr>
      <w:rPr>
        <w:rFonts w:ascii="Symbol" w:hAnsi="Symbol" w:hint="default"/>
      </w:rPr>
    </w:lvl>
    <w:lvl w:ilvl="1" w:tplc="DD8A7D5A">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2E1BA5"/>
    <w:multiLevelType w:val="multilevel"/>
    <w:tmpl w:val="85DA7A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468D6521"/>
    <w:multiLevelType w:val="hybridMultilevel"/>
    <w:tmpl w:val="03C4C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E6D0011"/>
    <w:multiLevelType w:val="hybridMultilevel"/>
    <w:tmpl w:val="88AEFFC6"/>
    <w:lvl w:ilvl="0" w:tplc="04140001">
      <w:start w:val="1"/>
      <w:numFmt w:val="bullet"/>
      <w:lvlText w:val=""/>
      <w:lvlJc w:val="left"/>
      <w:pPr>
        <w:ind w:left="773" w:hanging="360"/>
      </w:pPr>
      <w:rPr>
        <w:rFonts w:ascii="Symbol" w:hAnsi="Symbol" w:hint="default"/>
      </w:rPr>
    </w:lvl>
    <w:lvl w:ilvl="1" w:tplc="04140003">
      <w:start w:val="1"/>
      <w:numFmt w:val="bullet"/>
      <w:lvlText w:val="o"/>
      <w:lvlJc w:val="left"/>
      <w:pPr>
        <w:ind w:left="1493" w:hanging="360"/>
      </w:pPr>
      <w:rPr>
        <w:rFonts w:ascii="Courier New" w:hAnsi="Courier New" w:cs="Courier New" w:hint="default"/>
      </w:rPr>
    </w:lvl>
    <w:lvl w:ilvl="2" w:tplc="04140005">
      <w:start w:val="1"/>
      <w:numFmt w:val="bullet"/>
      <w:lvlText w:val=""/>
      <w:lvlJc w:val="left"/>
      <w:pPr>
        <w:ind w:left="2213" w:hanging="360"/>
      </w:pPr>
      <w:rPr>
        <w:rFonts w:ascii="Wingdings" w:hAnsi="Wingdings" w:hint="default"/>
      </w:rPr>
    </w:lvl>
    <w:lvl w:ilvl="3" w:tplc="04140001">
      <w:start w:val="1"/>
      <w:numFmt w:val="bullet"/>
      <w:lvlText w:val=""/>
      <w:lvlJc w:val="left"/>
      <w:pPr>
        <w:ind w:left="2933" w:hanging="360"/>
      </w:pPr>
      <w:rPr>
        <w:rFonts w:ascii="Symbol" w:hAnsi="Symbol" w:hint="default"/>
      </w:rPr>
    </w:lvl>
    <w:lvl w:ilvl="4" w:tplc="04140003">
      <w:start w:val="1"/>
      <w:numFmt w:val="bullet"/>
      <w:lvlText w:val="o"/>
      <w:lvlJc w:val="left"/>
      <w:pPr>
        <w:ind w:left="3653" w:hanging="360"/>
      </w:pPr>
      <w:rPr>
        <w:rFonts w:ascii="Courier New" w:hAnsi="Courier New" w:cs="Courier New" w:hint="default"/>
      </w:rPr>
    </w:lvl>
    <w:lvl w:ilvl="5" w:tplc="04140005">
      <w:start w:val="1"/>
      <w:numFmt w:val="bullet"/>
      <w:lvlText w:val=""/>
      <w:lvlJc w:val="left"/>
      <w:pPr>
        <w:ind w:left="4373" w:hanging="360"/>
      </w:pPr>
      <w:rPr>
        <w:rFonts w:ascii="Wingdings" w:hAnsi="Wingdings" w:hint="default"/>
      </w:rPr>
    </w:lvl>
    <w:lvl w:ilvl="6" w:tplc="04140001">
      <w:start w:val="1"/>
      <w:numFmt w:val="bullet"/>
      <w:lvlText w:val=""/>
      <w:lvlJc w:val="left"/>
      <w:pPr>
        <w:ind w:left="5093" w:hanging="360"/>
      </w:pPr>
      <w:rPr>
        <w:rFonts w:ascii="Symbol" w:hAnsi="Symbol" w:hint="default"/>
      </w:rPr>
    </w:lvl>
    <w:lvl w:ilvl="7" w:tplc="04140003">
      <w:start w:val="1"/>
      <w:numFmt w:val="bullet"/>
      <w:lvlText w:val="o"/>
      <w:lvlJc w:val="left"/>
      <w:pPr>
        <w:ind w:left="5813" w:hanging="360"/>
      </w:pPr>
      <w:rPr>
        <w:rFonts w:ascii="Courier New" w:hAnsi="Courier New" w:cs="Courier New" w:hint="default"/>
      </w:rPr>
    </w:lvl>
    <w:lvl w:ilvl="8" w:tplc="04140005">
      <w:start w:val="1"/>
      <w:numFmt w:val="bullet"/>
      <w:lvlText w:val=""/>
      <w:lvlJc w:val="left"/>
      <w:pPr>
        <w:ind w:left="6533" w:hanging="360"/>
      </w:pPr>
      <w:rPr>
        <w:rFonts w:ascii="Wingdings" w:hAnsi="Wingdings" w:hint="default"/>
      </w:rPr>
    </w:lvl>
  </w:abstractNum>
  <w:abstractNum w:abstractNumId="39">
    <w:nsid w:val="5021562D"/>
    <w:multiLevelType w:val="hybridMultilevel"/>
    <w:tmpl w:val="93826776"/>
    <w:lvl w:ilvl="0" w:tplc="04C65A88">
      <w:start w:val="2"/>
      <w:numFmt w:val="upperRoman"/>
      <w:lvlText w:val="%1."/>
      <w:lvlJc w:val="left"/>
      <w:pPr>
        <w:ind w:left="104" w:hanging="339"/>
      </w:pPr>
      <w:rPr>
        <w:rFonts w:ascii="Times New Roman" w:eastAsia="Times New Roman" w:hAnsi="Times New Roman" w:hint="default"/>
        <w:b/>
        <w:bCs/>
        <w:sz w:val="24"/>
        <w:szCs w:val="24"/>
      </w:rPr>
    </w:lvl>
    <w:lvl w:ilvl="1" w:tplc="7C346710">
      <w:start w:val="1"/>
      <w:numFmt w:val="decimal"/>
      <w:lvlText w:val="%2."/>
      <w:lvlJc w:val="left"/>
      <w:pPr>
        <w:ind w:left="104" w:hanging="300"/>
      </w:pPr>
      <w:rPr>
        <w:rFonts w:ascii="Times New Roman" w:eastAsia="Times New Roman" w:hAnsi="Times New Roman" w:hint="default"/>
        <w:b/>
        <w:bCs/>
        <w:sz w:val="24"/>
        <w:szCs w:val="24"/>
      </w:rPr>
    </w:lvl>
    <w:lvl w:ilvl="2" w:tplc="3C12E7CE">
      <w:start w:val="1"/>
      <w:numFmt w:val="bullet"/>
      <w:lvlText w:val="•"/>
      <w:lvlJc w:val="left"/>
      <w:pPr>
        <w:ind w:left="1150" w:hanging="300"/>
      </w:pPr>
      <w:rPr>
        <w:rFonts w:hint="default"/>
      </w:rPr>
    </w:lvl>
    <w:lvl w:ilvl="3" w:tplc="7FA4487C">
      <w:start w:val="1"/>
      <w:numFmt w:val="bullet"/>
      <w:lvlText w:val="•"/>
      <w:lvlJc w:val="left"/>
      <w:pPr>
        <w:ind w:left="2197" w:hanging="300"/>
      </w:pPr>
      <w:rPr>
        <w:rFonts w:hint="default"/>
      </w:rPr>
    </w:lvl>
    <w:lvl w:ilvl="4" w:tplc="43FCA6D4">
      <w:start w:val="1"/>
      <w:numFmt w:val="bullet"/>
      <w:lvlText w:val="•"/>
      <w:lvlJc w:val="left"/>
      <w:pPr>
        <w:ind w:left="3244" w:hanging="300"/>
      </w:pPr>
      <w:rPr>
        <w:rFonts w:hint="default"/>
      </w:rPr>
    </w:lvl>
    <w:lvl w:ilvl="5" w:tplc="90208FF2">
      <w:start w:val="1"/>
      <w:numFmt w:val="bullet"/>
      <w:lvlText w:val="•"/>
      <w:lvlJc w:val="left"/>
      <w:pPr>
        <w:ind w:left="4291" w:hanging="300"/>
      </w:pPr>
      <w:rPr>
        <w:rFonts w:hint="default"/>
      </w:rPr>
    </w:lvl>
    <w:lvl w:ilvl="6" w:tplc="E15E62E8">
      <w:start w:val="1"/>
      <w:numFmt w:val="bullet"/>
      <w:lvlText w:val="•"/>
      <w:lvlJc w:val="left"/>
      <w:pPr>
        <w:ind w:left="5338" w:hanging="300"/>
      </w:pPr>
      <w:rPr>
        <w:rFonts w:hint="default"/>
      </w:rPr>
    </w:lvl>
    <w:lvl w:ilvl="7" w:tplc="DF009244">
      <w:start w:val="1"/>
      <w:numFmt w:val="bullet"/>
      <w:lvlText w:val="•"/>
      <w:lvlJc w:val="left"/>
      <w:pPr>
        <w:ind w:left="6385" w:hanging="300"/>
      </w:pPr>
      <w:rPr>
        <w:rFonts w:hint="default"/>
      </w:rPr>
    </w:lvl>
    <w:lvl w:ilvl="8" w:tplc="B3FC5C18">
      <w:start w:val="1"/>
      <w:numFmt w:val="bullet"/>
      <w:lvlText w:val="•"/>
      <w:lvlJc w:val="left"/>
      <w:pPr>
        <w:ind w:left="7432" w:hanging="300"/>
      </w:pPr>
      <w:rPr>
        <w:rFonts w:hint="default"/>
      </w:rPr>
    </w:lvl>
  </w:abstractNum>
  <w:abstractNum w:abstractNumId="40">
    <w:nsid w:val="52B2364F"/>
    <w:multiLevelType w:val="hybridMultilevel"/>
    <w:tmpl w:val="7FF66BB0"/>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41">
    <w:nsid w:val="5B080B47"/>
    <w:multiLevelType w:val="multilevel"/>
    <w:tmpl w:val="8A50C66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5BFA5A51"/>
    <w:multiLevelType w:val="hybridMultilevel"/>
    <w:tmpl w:val="DB607A3C"/>
    <w:lvl w:ilvl="0" w:tplc="D214FC5A">
      <w:start w:val="1"/>
      <w:numFmt w:val="bullet"/>
      <w:pStyle w:val="Left2"/>
      <w:lvlText w:val=""/>
      <w:lvlJc w:val="left"/>
      <w:pPr>
        <w:tabs>
          <w:tab w:val="num" w:pos="1494"/>
        </w:tabs>
        <w:ind w:left="1494" w:hanging="360"/>
      </w:pPr>
      <w:rPr>
        <w:rFonts w:ascii="Symbol" w:hAnsi="Symbol" w:hint="default"/>
      </w:rPr>
    </w:lvl>
    <w:lvl w:ilvl="1" w:tplc="93302DC4">
      <w:start w:val="1"/>
      <w:numFmt w:val="lowerLetter"/>
      <w:lvlText w:val="%2."/>
      <w:lvlJc w:val="left"/>
      <w:pPr>
        <w:tabs>
          <w:tab w:val="num" w:pos="1440"/>
        </w:tabs>
        <w:ind w:left="1440" w:hanging="360"/>
      </w:pPr>
      <w:rPr>
        <w:rFonts w:cs="Times New Roman"/>
      </w:rPr>
    </w:lvl>
    <w:lvl w:ilvl="2" w:tplc="32F41052">
      <w:start w:val="7"/>
      <w:numFmt w:val="lowerLetter"/>
      <w:lvlText w:val="(%3)"/>
      <w:lvlJc w:val="left"/>
      <w:pPr>
        <w:tabs>
          <w:tab w:val="num" w:pos="2340"/>
        </w:tabs>
        <w:ind w:left="2340" w:hanging="360"/>
      </w:pPr>
      <w:rPr>
        <w:rFonts w:cs="Times New Roman" w:hint="default"/>
      </w:rPr>
    </w:lvl>
    <w:lvl w:ilvl="3" w:tplc="8618D69A" w:tentative="1">
      <w:start w:val="1"/>
      <w:numFmt w:val="decimal"/>
      <w:lvlText w:val="%4."/>
      <w:lvlJc w:val="left"/>
      <w:pPr>
        <w:tabs>
          <w:tab w:val="num" w:pos="2880"/>
        </w:tabs>
        <w:ind w:left="2880" w:hanging="360"/>
      </w:pPr>
      <w:rPr>
        <w:rFonts w:cs="Times New Roman"/>
      </w:rPr>
    </w:lvl>
    <w:lvl w:ilvl="4" w:tplc="7C16D064" w:tentative="1">
      <w:start w:val="1"/>
      <w:numFmt w:val="lowerLetter"/>
      <w:lvlText w:val="%5."/>
      <w:lvlJc w:val="left"/>
      <w:pPr>
        <w:tabs>
          <w:tab w:val="num" w:pos="3600"/>
        </w:tabs>
        <w:ind w:left="3600" w:hanging="360"/>
      </w:pPr>
      <w:rPr>
        <w:rFonts w:cs="Times New Roman"/>
      </w:rPr>
    </w:lvl>
    <w:lvl w:ilvl="5" w:tplc="38766FB4" w:tentative="1">
      <w:start w:val="1"/>
      <w:numFmt w:val="lowerRoman"/>
      <w:lvlText w:val="%6."/>
      <w:lvlJc w:val="right"/>
      <w:pPr>
        <w:tabs>
          <w:tab w:val="num" w:pos="4320"/>
        </w:tabs>
        <w:ind w:left="4320" w:hanging="180"/>
      </w:pPr>
      <w:rPr>
        <w:rFonts w:cs="Times New Roman"/>
      </w:rPr>
    </w:lvl>
    <w:lvl w:ilvl="6" w:tplc="E3189860" w:tentative="1">
      <w:start w:val="1"/>
      <w:numFmt w:val="decimal"/>
      <w:lvlText w:val="%7."/>
      <w:lvlJc w:val="left"/>
      <w:pPr>
        <w:tabs>
          <w:tab w:val="num" w:pos="5040"/>
        </w:tabs>
        <w:ind w:left="5040" w:hanging="360"/>
      </w:pPr>
      <w:rPr>
        <w:rFonts w:cs="Times New Roman"/>
      </w:rPr>
    </w:lvl>
    <w:lvl w:ilvl="7" w:tplc="069283A8" w:tentative="1">
      <w:start w:val="1"/>
      <w:numFmt w:val="lowerLetter"/>
      <w:lvlText w:val="%8."/>
      <w:lvlJc w:val="left"/>
      <w:pPr>
        <w:tabs>
          <w:tab w:val="num" w:pos="5760"/>
        </w:tabs>
        <w:ind w:left="5760" w:hanging="360"/>
      </w:pPr>
      <w:rPr>
        <w:rFonts w:cs="Times New Roman"/>
      </w:rPr>
    </w:lvl>
    <w:lvl w:ilvl="8" w:tplc="63E4A05C" w:tentative="1">
      <w:start w:val="1"/>
      <w:numFmt w:val="lowerRoman"/>
      <w:lvlText w:val="%9."/>
      <w:lvlJc w:val="right"/>
      <w:pPr>
        <w:tabs>
          <w:tab w:val="num" w:pos="6480"/>
        </w:tabs>
        <w:ind w:left="6480" w:hanging="180"/>
      </w:pPr>
      <w:rPr>
        <w:rFonts w:cs="Times New Roman"/>
      </w:rPr>
    </w:lvl>
  </w:abstractNum>
  <w:abstractNum w:abstractNumId="43">
    <w:nsid w:val="5D1B0C46"/>
    <w:multiLevelType w:val="hybridMultilevel"/>
    <w:tmpl w:val="E0DAB246"/>
    <w:lvl w:ilvl="0" w:tplc="49D86D9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4">
    <w:nsid w:val="5D914604"/>
    <w:multiLevelType w:val="multilevel"/>
    <w:tmpl w:val="89A4E6BA"/>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Calibri" w:eastAsia="Times New Roman" w:hAnsi="Calibri"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6C84567E"/>
    <w:multiLevelType w:val="hybridMultilevel"/>
    <w:tmpl w:val="35383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D4659AA"/>
    <w:multiLevelType w:val="multilevel"/>
    <w:tmpl w:val="3BE07FA8"/>
    <w:lvl w:ilvl="0">
      <w:start w:val="1"/>
      <w:numFmt w:val="decimal"/>
      <w:lvlText w:val="%1"/>
      <w:lvlJc w:val="left"/>
      <w:pPr>
        <w:ind w:left="540" w:hanging="540"/>
      </w:pPr>
      <w:rPr>
        <w:rFonts w:hint="default"/>
        <w:b w:val="0"/>
      </w:rPr>
    </w:lvl>
    <w:lvl w:ilvl="1">
      <w:start w:val="1"/>
      <w:numFmt w:val="decimal"/>
      <w:lvlText w:val="%1.%2"/>
      <w:lvlJc w:val="left"/>
      <w:pPr>
        <w:ind w:left="540" w:hanging="54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7">
    <w:nsid w:val="71DF4EE4"/>
    <w:multiLevelType w:val="hybridMultilevel"/>
    <w:tmpl w:val="A028CC18"/>
    <w:lvl w:ilvl="0" w:tplc="4A46D0B0">
      <w:start w:val="1"/>
      <w:numFmt w:val="bullet"/>
      <w:lvlText w:val=""/>
      <w:lvlJc w:val="left"/>
      <w:pPr>
        <w:ind w:left="1287" w:hanging="360"/>
      </w:pPr>
      <w:rPr>
        <w:rFonts w:ascii="Wingdings" w:hAnsi="Wingdings" w:hint="default"/>
        <w:color w:val="E36C0A" w:themeColor="accent6" w:themeShade="BF"/>
      </w:rPr>
    </w:lvl>
    <w:lvl w:ilvl="1" w:tplc="04140003" w:tentative="1">
      <w:start w:val="1"/>
      <w:numFmt w:val="bullet"/>
      <w:lvlText w:val="o"/>
      <w:lvlJc w:val="left"/>
      <w:pPr>
        <w:ind w:left="2007" w:hanging="360"/>
      </w:pPr>
      <w:rPr>
        <w:rFonts w:ascii="Courier New" w:hAnsi="Courier New" w:cs="Courier New" w:hint="default"/>
      </w:rPr>
    </w:lvl>
    <w:lvl w:ilvl="2" w:tplc="04140005" w:tentative="1">
      <w:start w:val="1"/>
      <w:numFmt w:val="bullet"/>
      <w:lvlText w:val=""/>
      <w:lvlJc w:val="left"/>
      <w:pPr>
        <w:ind w:left="2727" w:hanging="360"/>
      </w:pPr>
      <w:rPr>
        <w:rFonts w:ascii="Wingdings" w:hAnsi="Wingdings" w:hint="default"/>
      </w:rPr>
    </w:lvl>
    <w:lvl w:ilvl="3" w:tplc="04140001" w:tentative="1">
      <w:start w:val="1"/>
      <w:numFmt w:val="bullet"/>
      <w:lvlText w:val=""/>
      <w:lvlJc w:val="left"/>
      <w:pPr>
        <w:ind w:left="3447" w:hanging="360"/>
      </w:pPr>
      <w:rPr>
        <w:rFonts w:ascii="Symbol" w:hAnsi="Symbol" w:hint="default"/>
      </w:rPr>
    </w:lvl>
    <w:lvl w:ilvl="4" w:tplc="04140003" w:tentative="1">
      <w:start w:val="1"/>
      <w:numFmt w:val="bullet"/>
      <w:lvlText w:val="o"/>
      <w:lvlJc w:val="left"/>
      <w:pPr>
        <w:ind w:left="4167" w:hanging="360"/>
      </w:pPr>
      <w:rPr>
        <w:rFonts w:ascii="Courier New" w:hAnsi="Courier New" w:cs="Courier New" w:hint="default"/>
      </w:rPr>
    </w:lvl>
    <w:lvl w:ilvl="5" w:tplc="04140005" w:tentative="1">
      <w:start w:val="1"/>
      <w:numFmt w:val="bullet"/>
      <w:lvlText w:val=""/>
      <w:lvlJc w:val="left"/>
      <w:pPr>
        <w:ind w:left="4887" w:hanging="360"/>
      </w:pPr>
      <w:rPr>
        <w:rFonts w:ascii="Wingdings" w:hAnsi="Wingdings" w:hint="default"/>
      </w:rPr>
    </w:lvl>
    <w:lvl w:ilvl="6" w:tplc="04140001" w:tentative="1">
      <w:start w:val="1"/>
      <w:numFmt w:val="bullet"/>
      <w:lvlText w:val=""/>
      <w:lvlJc w:val="left"/>
      <w:pPr>
        <w:ind w:left="5607" w:hanging="360"/>
      </w:pPr>
      <w:rPr>
        <w:rFonts w:ascii="Symbol" w:hAnsi="Symbol" w:hint="default"/>
      </w:rPr>
    </w:lvl>
    <w:lvl w:ilvl="7" w:tplc="04140003" w:tentative="1">
      <w:start w:val="1"/>
      <w:numFmt w:val="bullet"/>
      <w:lvlText w:val="o"/>
      <w:lvlJc w:val="left"/>
      <w:pPr>
        <w:ind w:left="6327" w:hanging="360"/>
      </w:pPr>
      <w:rPr>
        <w:rFonts w:ascii="Courier New" w:hAnsi="Courier New" w:cs="Courier New" w:hint="default"/>
      </w:rPr>
    </w:lvl>
    <w:lvl w:ilvl="8" w:tplc="04140005" w:tentative="1">
      <w:start w:val="1"/>
      <w:numFmt w:val="bullet"/>
      <w:lvlText w:val=""/>
      <w:lvlJc w:val="left"/>
      <w:pPr>
        <w:ind w:left="7047" w:hanging="360"/>
      </w:pPr>
      <w:rPr>
        <w:rFonts w:ascii="Wingdings" w:hAnsi="Wingdings" w:hint="default"/>
      </w:rPr>
    </w:lvl>
  </w:abstractNum>
  <w:num w:numId="1">
    <w:abstractNumId w:val="4"/>
  </w:num>
  <w:num w:numId="2">
    <w:abstractNumId w:val="4"/>
  </w:num>
  <w:num w:numId="3">
    <w:abstractNumId w:val="4"/>
  </w:num>
  <w:num w:numId="4">
    <w:abstractNumId w:val="6"/>
  </w:num>
  <w:num w:numId="5">
    <w:abstractNumId w:val="18"/>
  </w:num>
  <w:num w:numId="6">
    <w:abstractNumId w:val="20"/>
  </w:num>
  <w:num w:numId="7">
    <w:abstractNumId w:val="5"/>
  </w:num>
  <w:num w:numId="8">
    <w:abstractNumId w:val="9"/>
  </w:num>
  <w:num w:numId="9">
    <w:abstractNumId w:val="47"/>
  </w:num>
  <w:num w:numId="10">
    <w:abstractNumId w:val="21"/>
  </w:num>
  <w:num w:numId="11">
    <w:abstractNumId w:val="32"/>
  </w:num>
  <w:num w:numId="12">
    <w:abstractNumId w:val="38"/>
  </w:num>
  <w:num w:numId="13">
    <w:abstractNumId w:val="10"/>
  </w:num>
  <w:num w:numId="14">
    <w:abstractNumId w:val="16"/>
  </w:num>
  <w:num w:numId="15">
    <w:abstractNumId w:val="13"/>
  </w:num>
  <w:num w:numId="16">
    <w:abstractNumId w:val="31"/>
  </w:num>
  <w:num w:numId="17">
    <w:abstractNumId w:val="28"/>
  </w:num>
  <w:num w:numId="18">
    <w:abstractNumId w:val="7"/>
  </w:num>
  <w:num w:numId="19">
    <w:abstractNumId w:val="45"/>
  </w:num>
  <w:num w:numId="20">
    <w:abstractNumId w:val="42"/>
  </w:num>
  <w:num w:numId="21">
    <w:abstractNumId w:val="22"/>
  </w:num>
  <w:num w:numId="22">
    <w:abstractNumId w:val="40"/>
  </w:num>
  <w:num w:numId="23">
    <w:abstractNumId w:val="2"/>
  </w:num>
  <w:num w:numId="24">
    <w:abstractNumId w:val="19"/>
  </w:num>
  <w:num w:numId="25">
    <w:abstractNumId w:val="26"/>
  </w:num>
  <w:num w:numId="26">
    <w:abstractNumId w:val="27"/>
  </w:num>
  <w:num w:numId="27">
    <w:abstractNumId w:val="44"/>
  </w:num>
  <w:num w:numId="28">
    <w:abstractNumId w:val="35"/>
  </w:num>
  <w:num w:numId="29">
    <w:abstractNumId w:val="11"/>
  </w:num>
  <w:num w:numId="30">
    <w:abstractNumId w:val="24"/>
  </w:num>
  <w:num w:numId="31">
    <w:abstractNumId w:val="1"/>
  </w:num>
  <w:num w:numId="32">
    <w:abstractNumId w:val="41"/>
  </w:num>
  <w:num w:numId="33">
    <w:abstractNumId w:val="37"/>
  </w:num>
  <w:num w:numId="34">
    <w:abstractNumId w:val="3"/>
  </w:num>
  <w:num w:numId="35">
    <w:abstractNumId w:val="29"/>
  </w:num>
  <w:num w:numId="36">
    <w:abstractNumId w:val="33"/>
  </w:num>
  <w:num w:numId="37">
    <w:abstractNumId w:val="46"/>
  </w:num>
  <w:num w:numId="38">
    <w:abstractNumId w:val="12"/>
  </w:num>
  <w:num w:numId="39">
    <w:abstractNumId w:val="36"/>
  </w:num>
  <w:num w:numId="40">
    <w:abstractNumId w:val="8"/>
  </w:num>
  <w:num w:numId="41">
    <w:abstractNumId w:val="14"/>
  </w:num>
  <w:num w:numId="42">
    <w:abstractNumId w:val="17"/>
  </w:num>
  <w:num w:numId="43">
    <w:abstractNumId w:val="0"/>
  </w:num>
  <w:num w:numId="44">
    <w:abstractNumId w:val="34"/>
  </w:num>
  <w:num w:numId="45">
    <w:abstractNumId w:val="25"/>
  </w:num>
  <w:num w:numId="46">
    <w:abstractNumId w:val="43"/>
  </w:num>
  <w:num w:numId="47">
    <w:abstractNumId w:val="23"/>
  </w:num>
  <w:num w:numId="48">
    <w:abstractNumId w:val="30"/>
  </w:num>
  <w:num w:numId="49">
    <w:abstractNumId w:val="15"/>
  </w:num>
  <w:num w:numId="50">
    <w:abstractNumId w:val="3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comments" w:formatting="1" w:enforcement="0"/>
  <w:defaultTabStop w:val="720"/>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ABA"/>
    <w:rsid w:val="0000155E"/>
    <w:rsid w:val="0001206D"/>
    <w:rsid w:val="000258DE"/>
    <w:rsid w:val="00036277"/>
    <w:rsid w:val="000525BF"/>
    <w:rsid w:val="000539E7"/>
    <w:rsid w:val="000579ED"/>
    <w:rsid w:val="00062871"/>
    <w:rsid w:val="0006423D"/>
    <w:rsid w:val="00064C16"/>
    <w:rsid w:val="00070BBF"/>
    <w:rsid w:val="000725B7"/>
    <w:rsid w:val="00076286"/>
    <w:rsid w:val="0008269D"/>
    <w:rsid w:val="00084AA0"/>
    <w:rsid w:val="00086732"/>
    <w:rsid w:val="0008742E"/>
    <w:rsid w:val="00090304"/>
    <w:rsid w:val="00092E9C"/>
    <w:rsid w:val="00093F21"/>
    <w:rsid w:val="00094167"/>
    <w:rsid w:val="000B0C70"/>
    <w:rsid w:val="000B5AD2"/>
    <w:rsid w:val="000B744D"/>
    <w:rsid w:val="000C5302"/>
    <w:rsid w:val="000C63F1"/>
    <w:rsid w:val="000C7905"/>
    <w:rsid w:val="000D08D0"/>
    <w:rsid w:val="000D5E98"/>
    <w:rsid w:val="000E6356"/>
    <w:rsid w:val="00102B7F"/>
    <w:rsid w:val="00111CD0"/>
    <w:rsid w:val="00122138"/>
    <w:rsid w:val="00122D84"/>
    <w:rsid w:val="0012516E"/>
    <w:rsid w:val="00125F5F"/>
    <w:rsid w:val="0012635A"/>
    <w:rsid w:val="001326D2"/>
    <w:rsid w:val="00134375"/>
    <w:rsid w:val="0014370D"/>
    <w:rsid w:val="00156579"/>
    <w:rsid w:val="00161BA1"/>
    <w:rsid w:val="00162B6E"/>
    <w:rsid w:val="00165EBF"/>
    <w:rsid w:val="00182275"/>
    <w:rsid w:val="0018447D"/>
    <w:rsid w:val="00187695"/>
    <w:rsid w:val="0019467E"/>
    <w:rsid w:val="001963BC"/>
    <w:rsid w:val="001969DB"/>
    <w:rsid w:val="001B0EF5"/>
    <w:rsid w:val="001D425D"/>
    <w:rsid w:val="001E45F8"/>
    <w:rsid w:val="001E522B"/>
    <w:rsid w:val="001E6DA6"/>
    <w:rsid w:val="001F3810"/>
    <w:rsid w:val="00201A95"/>
    <w:rsid w:val="00205B6A"/>
    <w:rsid w:val="00205D67"/>
    <w:rsid w:val="00211297"/>
    <w:rsid w:val="00215248"/>
    <w:rsid w:val="00215E12"/>
    <w:rsid w:val="00220DDE"/>
    <w:rsid w:val="00222219"/>
    <w:rsid w:val="00222710"/>
    <w:rsid w:val="0024265D"/>
    <w:rsid w:val="00250CD5"/>
    <w:rsid w:val="00251C53"/>
    <w:rsid w:val="0025673B"/>
    <w:rsid w:val="0026636F"/>
    <w:rsid w:val="00270270"/>
    <w:rsid w:val="00270830"/>
    <w:rsid w:val="00276600"/>
    <w:rsid w:val="002822C0"/>
    <w:rsid w:val="00295AC1"/>
    <w:rsid w:val="0029608E"/>
    <w:rsid w:val="00297CBA"/>
    <w:rsid w:val="002A2397"/>
    <w:rsid w:val="002A314A"/>
    <w:rsid w:val="002B11BC"/>
    <w:rsid w:val="002B4FFB"/>
    <w:rsid w:val="002C59A8"/>
    <w:rsid w:val="002C6BDE"/>
    <w:rsid w:val="002D70FA"/>
    <w:rsid w:val="002E35AB"/>
    <w:rsid w:val="003001C6"/>
    <w:rsid w:val="00321230"/>
    <w:rsid w:val="00326FC6"/>
    <w:rsid w:val="00337D87"/>
    <w:rsid w:val="0035149E"/>
    <w:rsid w:val="0036223C"/>
    <w:rsid w:val="00367498"/>
    <w:rsid w:val="003734D2"/>
    <w:rsid w:val="003B2F91"/>
    <w:rsid w:val="003D21FC"/>
    <w:rsid w:val="003E390F"/>
    <w:rsid w:val="003F1669"/>
    <w:rsid w:val="003F6B56"/>
    <w:rsid w:val="0040675F"/>
    <w:rsid w:val="00407E0F"/>
    <w:rsid w:val="00415D43"/>
    <w:rsid w:val="00423884"/>
    <w:rsid w:val="00440F0F"/>
    <w:rsid w:val="00441A65"/>
    <w:rsid w:val="00446626"/>
    <w:rsid w:val="00450139"/>
    <w:rsid w:val="00450E83"/>
    <w:rsid w:val="0045191A"/>
    <w:rsid w:val="00453375"/>
    <w:rsid w:val="00455556"/>
    <w:rsid w:val="004875BE"/>
    <w:rsid w:val="004902E6"/>
    <w:rsid w:val="00495668"/>
    <w:rsid w:val="00495CFF"/>
    <w:rsid w:val="004A0C17"/>
    <w:rsid w:val="004A1963"/>
    <w:rsid w:val="004B243D"/>
    <w:rsid w:val="004B35D2"/>
    <w:rsid w:val="004B4960"/>
    <w:rsid w:val="004B5893"/>
    <w:rsid w:val="004C0BC7"/>
    <w:rsid w:val="004C1E34"/>
    <w:rsid w:val="004D09DC"/>
    <w:rsid w:val="004D120B"/>
    <w:rsid w:val="004D61BB"/>
    <w:rsid w:val="004D784E"/>
    <w:rsid w:val="0050625F"/>
    <w:rsid w:val="00516339"/>
    <w:rsid w:val="00523B4C"/>
    <w:rsid w:val="00526C5D"/>
    <w:rsid w:val="00527024"/>
    <w:rsid w:val="0053034C"/>
    <w:rsid w:val="00532F5E"/>
    <w:rsid w:val="00533F6B"/>
    <w:rsid w:val="00557991"/>
    <w:rsid w:val="00557FE2"/>
    <w:rsid w:val="00572690"/>
    <w:rsid w:val="00572799"/>
    <w:rsid w:val="00577037"/>
    <w:rsid w:val="00580186"/>
    <w:rsid w:val="00581E33"/>
    <w:rsid w:val="005959DE"/>
    <w:rsid w:val="005B2601"/>
    <w:rsid w:val="005D6B25"/>
    <w:rsid w:val="005F147C"/>
    <w:rsid w:val="005F4FCB"/>
    <w:rsid w:val="005F54EB"/>
    <w:rsid w:val="005F7C98"/>
    <w:rsid w:val="00624B99"/>
    <w:rsid w:val="00630381"/>
    <w:rsid w:val="006315A2"/>
    <w:rsid w:val="006368A8"/>
    <w:rsid w:val="00637547"/>
    <w:rsid w:val="00637C58"/>
    <w:rsid w:val="00641C47"/>
    <w:rsid w:val="006567AB"/>
    <w:rsid w:val="00665B78"/>
    <w:rsid w:val="0067716D"/>
    <w:rsid w:val="006A07D1"/>
    <w:rsid w:val="006B09DB"/>
    <w:rsid w:val="006B6179"/>
    <w:rsid w:val="006B6E50"/>
    <w:rsid w:val="006C1285"/>
    <w:rsid w:val="006C3E6E"/>
    <w:rsid w:val="006C636D"/>
    <w:rsid w:val="006D3942"/>
    <w:rsid w:val="006D5F48"/>
    <w:rsid w:val="006E0BCC"/>
    <w:rsid w:val="006E2DB0"/>
    <w:rsid w:val="00701F17"/>
    <w:rsid w:val="007043FA"/>
    <w:rsid w:val="0070698D"/>
    <w:rsid w:val="00710E75"/>
    <w:rsid w:val="00726213"/>
    <w:rsid w:val="00737242"/>
    <w:rsid w:val="00737EE6"/>
    <w:rsid w:val="0074276C"/>
    <w:rsid w:val="00744D86"/>
    <w:rsid w:val="00751907"/>
    <w:rsid w:val="007570EB"/>
    <w:rsid w:val="00767DD2"/>
    <w:rsid w:val="00772CD7"/>
    <w:rsid w:val="007774D9"/>
    <w:rsid w:val="00786602"/>
    <w:rsid w:val="0078688E"/>
    <w:rsid w:val="00793F0C"/>
    <w:rsid w:val="00795E7F"/>
    <w:rsid w:val="007A19B7"/>
    <w:rsid w:val="007B0DFE"/>
    <w:rsid w:val="007B4BF1"/>
    <w:rsid w:val="007B4CD5"/>
    <w:rsid w:val="007B7306"/>
    <w:rsid w:val="007D0AB7"/>
    <w:rsid w:val="007E4286"/>
    <w:rsid w:val="007F01BD"/>
    <w:rsid w:val="007F452C"/>
    <w:rsid w:val="007F6CD5"/>
    <w:rsid w:val="0080610F"/>
    <w:rsid w:val="00816274"/>
    <w:rsid w:val="00817DCE"/>
    <w:rsid w:val="00823D09"/>
    <w:rsid w:val="008256B0"/>
    <w:rsid w:val="00827720"/>
    <w:rsid w:val="00827F02"/>
    <w:rsid w:val="00830A99"/>
    <w:rsid w:val="00832CF7"/>
    <w:rsid w:val="00832ED6"/>
    <w:rsid w:val="008478C1"/>
    <w:rsid w:val="00847AC7"/>
    <w:rsid w:val="00856F09"/>
    <w:rsid w:val="00857261"/>
    <w:rsid w:val="0086055A"/>
    <w:rsid w:val="00866036"/>
    <w:rsid w:val="00874E8E"/>
    <w:rsid w:val="00875902"/>
    <w:rsid w:val="00876DEE"/>
    <w:rsid w:val="00877282"/>
    <w:rsid w:val="00881EAF"/>
    <w:rsid w:val="00883905"/>
    <w:rsid w:val="00893064"/>
    <w:rsid w:val="008933F4"/>
    <w:rsid w:val="008966E4"/>
    <w:rsid w:val="008A1718"/>
    <w:rsid w:val="008A37EF"/>
    <w:rsid w:val="008A4DD0"/>
    <w:rsid w:val="008B486F"/>
    <w:rsid w:val="008B65CA"/>
    <w:rsid w:val="008B6656"/>
    <w:rsid w:val="008B734E"/>
    <w:rsid w:val="008C6190"/>
    <w:rsid w:val="008D0D21"/>
    <w:rsid w:val="008E4B40"/>
    <w:rsid w:val="008E6B5C"/>
    <w:rsid w:val="008F0320"/>
    <w:rsid w:val="008F0EDF"/>
    <w:rsid w:val="008F4355"/>
    <w:rsid w:val="00900539"/>
    <w:rsid w:val="00917BBA"/>
    <w:rsid w:val="0092632B"/>
    <w:rsid w:val="0095086F"/>
    <w:rsid w:val="00957DD2"/>
    <w:rsid w:val="00971E03"/>
    <w:rsid w:val="0097715D"/>
    <w:rsid w:val="009812FF"/>
    <w:rsid w:val="0098190E"/>
    <w:rsid w:val="0098424E"/>
    <w:rsid w:val="009879A8"/>
    <w:rsid w:val="0099696C"/>
    <w:rsid w:val="009B4A80"/>
    <w:rsid w:val="009D35A9"/>
    <w:rsid w:val="009D5042"/>
    <w:rsid w:val="009E7326"/>
    <w:rsid w:val="009F5653"/>
    <w:rsid w:val="00A0596B"/>
    <w:rsid w:val="00A240E6"/>
    <w:rsid w:val="00A32C25"/>
    <w:rsid w:val="00A4306E"/>
    <w:rsid w:val="00A458F3"/>
    <w:rsid w:val="00A47FED"/>
    <w:rsid w:val="00A51059"/>
    <w:rsid w:val="00A5123D"/>
    <w:rsid w:val="00A615C8"/>
    <w:rsid w:val="00A724B5"/>
    <w:rsid w:val="00A73926"/>
    <w:rsid w:val="00A74D1C"/>
    <w:rsid w:val="00A85BB5"/>
    <w:rsid w:val="00A91506"/>
    <w:rsid w:val="00A92D20"/>
    <w:rsid w:val="00A935F4"/>
    <w:rsid w:val="00A94137"/>
    <w:rsid w:val="00A96A10"/>
    <w:rsid w:val="00A96DAC"/>
    <w:rsid w:val="00AA0880"/>
    <w:rsid w:val="00AA5614"/>
    <w:rsid w:val="00AB1AC2"/>
    <w:rsid w:val="00AC6CFF"/>
    <w:rsid w:val="00AF0E6E"/>
    <w:rsid w:val="00AF5097"/>
    <w:rsid w:val="00B0203E"/>
    <w:rsid w:val="00B0266F"/>
    <w:rsid w:val="00B06E5A"/>
    <w:rsid w:val="00B122FD"/>
    <w:rsid w:val="00B31C65"/>
    <w:rsid w:val="00B32112"/>
    <w:rsid w:val="00B44775"/>
    <w:rsid w:val="00B51B6F"/>
    <w:rsid w:val="00B62833"/>
    <w:rsid w:val="00B63AC0"/>
    <w:rsid w:val="00B6695C"/>
    <w:rsid w:val="00B73333"/>
    <w:rsid w:val="00B80EC8"/>
    <w:rsid w:val="00B8159A"/>
    <w:rsid w:val="00B81E09"/>
    <w:rsid w:val="00B93A2D"/>
    <w:rsid w:val="00BA3404"/>
    <w:rsid w:val="00BA64B5"/>
    <w:rsid w:val="00BC1F5D"/>
    <w:rsid w:val="00BC36B6"/>
    <w:rsid w:val="00BC5652"/>
    <w:rsid w:val="00BE1EA8"/>
    <w:rsid w:val="00BE532D"/>
    <w:rsid w:val="00BE5864"/>
    <w:rsid w:val="00BF0E88"/>
    <w:rsid w:val="00BF128F"/>
    <w:rsid w:val="00BF431D"/>
    <w:rsid w:val="00C03001"/>
    <w:rsid w:val="00C1053F"/>
    <w:rsid w:val="00C25218"/>
    <w:rsid w:val="00C35520"/>
    <w:rsid w:val="00C3678D"/>
    <w:rsid w:val="00C560D2"/>
    <w:rsid w:val="00C57CF7"/>
    <w:rsid w:val="00C7599F"/>
    <w:rsid w:val="00C76A24"/>
    <w:rsid w:val="00C82DC2"/>
    <w:rsid w:val="00C86881"/>
    <w:rsid w:val="00C8697D"/>
    <w:rsid w:val="00C91BAB"/>
    <w:rsid w:val="00CB64A6"/>
    <w:rsid w:val="00CC2AA7"/>
    <w:rsid w:val="00CD2888"/>
    <w:rsid w:val="00CE0E10"/>
    <w:rsid w:val="00CF7225"/>
    <w:rsid w:val="00D15C8B"/>
    <w:rsid w:val="00D21854"/>
    <w:rsid w:val="00D31AC7"/>
    <w:rsid w:val="00D4226D"/>
    <w:rsid w:val="00D438B3"/>
    <w:rsid w:val="00D45692"/>
    <w:rsid w:val="00D5277F"/>
    <w:rsid w:val="00D54699"/>
    <w:rsid w:val="00D5737C"/>
    <w:rsid w:val="00D6091F"/>
    <w:rsid w:val="00D60CF9"/>
    <w:rsid w:val="00D675F1"/>
    <w:rsid w:val="00D727EE"/>
    <w:rsid w:val="00D76987"/>
    <w:rsid w:val="00D8014F"/>
    <w:rsid w:val="00D81052"/>
    <w:rsid w:val="00D94B43"/>
    <w:rsid w:val="00DA5384"/>
    <w:rsid w:val="00DB180C"/>
    <w:rsid w:val="00DC35C1"/>
    <w:rsid w:val="00DC3D5D"/>
    <w:rsid w:val="00DC3F90"/>
    <w:rsid w:val="00DC5D9C"/>
    <w:rsid w:val="00DD0B09"/>
    <w:rsid w:val="00DD387F"/>
    <w:rsid w:val="00DE0D9F"/>
    <w:rsid w:val="00DE1274"/>
    <w:rsid w:val="00DE3127"/>
    <w:rsid w:val="00DF1D0E"/>
    <w:rsid w:val="00DF3DEC"/>
    <w:rsid w:val="00DF4709"/>
    <w:rsid w:val="00DF48ED"/>
    <w:rsid w:val="00E06079"/>
    <w:rsid w:val="00E136FC"/>
    <w:rsid w:val="00E15612"/>
    <w:rsid w:val="00E162D6"/>
    <w:rsid w:val="00E37453"/>
    <w:rsid w:val="00E37ABA"/>
    <w:rsid w:val="00E37DC4"/>
    <w:rsid w:val="00E417FD"/>
    <w:rsid w:val="00E42DA4"/>
    <w:rsid w:val="00E45668"/>
    <w:rsid w:val="00E51C89"/>
    <w:rsid w:val="00E54BE2"/>
    <w:rsid w:val="00E554F9"/>
    <w:rsid w:val="00E70FEC"/>
    <w:rsid w:val="00E7794C"/>
    <w:rsid w:val="00E85AD3"/>
    <w:rsid w:val="00E87AA0"/>
    <w:rsid w:val="00E92C0F"/>
    <w:rsid w:val="00E93775"/>
    <w:rsid w:val="00EA2143"/>
    <w:rsid w:val="00EA6E0D"/>
    <w:rsid w:val="00EB4117"/>
    <w:rsid w:val="00EB5326"/>
    <w:rsid w:val="00ED3CE6"/>
    <w:rsid w:val="00ED5C13"/>
    <w:rsid w:val="00EE1D94"/>
    <w:rsid w:val="00EE36E8"/>
    <w:rsid w:val="00F058D4"/>
    <w:rsid w:val="00F131A0"/>
    <w:rsid w:val="00F1792E"/>
    <w:rsid w:val="00F22849"/>
    <w:rsid w:val="00F250E4"/>
    <w:rsid w:val="00F27019"/>
    <w:rsid w:val="00F36C03"/>
    <w:rsid w:val="00F40734"/>
    <w:rsid w:val="00F408AE"/>
    <w:rsid w:val="00F46974"/>
    <w:rsid w:val="00F46E11"/>
    <w:rsid w:val="00F82CE4"/>
    <w:rsid w:val="00F8349E"/>
    <w:rsid w:val="00F85EF8"/>
    <w:rsid w:val="00F86BD0"/>
    <w:rsid w:val="00F97ABC"/>
    <w:rsid w:val="00FA262E"/>
    <w:rsid w:val="00FA76C3"/>
    <w:rsid w:val="00FB4071"/>
    <w:rsid w:val="00FC525D"/>
    <w:rsid w:val="00FC7EA1"/>
    <w:rsid w:val="00FE0BD0"/>
    <w:rsid w:val="00FE73CB"/>
    <w:rsid w:val="00FF1E0E"/>
    <w:rsid w:val="00FF467A"/>
    <w:rsid w:val="00FF4C5A"/>
    <w:rsid w:val="6220A8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Bullet" w:uiPriority="99"/>
    <w:lsdException w:name="List Number" w:semiHidden="0" w:unhideWhenUsed="0"/>
    <w:lsdException w:name="List 4" w:semiHidden="0" w:unhideWhenUsed="0"/>
    <w:lsdException w:name="List 5" w:semiHidden="0" w:unhideWhenUsed="0"/>
    <w:lsdException w:name="List Bullet 2" w:uiPriority="99"/>
    <w:lsdException w:name="List Bullet 3" w:uiPriority="99"/>
    <w:lsdException w:name="List Bullet 4" w:uiPriority="99"/>
    <w:lsdException w:name="List Bullet 5" w:uiPriority="99"/>
    <w:lsdException w:name="Title" w:semiHidden="0" w:uiPriority="10" w:unhideWhenUsed="0" w:qFormat="1"/>
    <w:lsdException w:name="Default Paragraph Font" w:uiPriority="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64A6"/>
    <w:pPr>
      <w:jc w:val="both"/>
    </w:pPr>
    <w:rPr>
      <w:rFonts w:ascii="Calibri" w:hAnsi="Calibri"/>
      <w:sz w:val="22"/>
      <w:szCs w:val="24"/>
      <w:lang w:val="en-GB" w:eastAsia="en-US"/>
    </w:rPr>
  </w:style>
  <w:style w:type="paragraph" w:styleId="Heading1">
    <w:name w:val="heading 1"/>
    <w:basedOn w:val="Normal"/>
    <w:next w:val="Normal"/>
    <w:link w:val="Heading1Char"/>
    <w:uiPriority w:val="1"/>
    <w:qFormat/>
    <w:rsid w:val="00E7794C"/>
    <w:pPr>
      <w:keepNext/>
      <w:numPr>
        <w:numId w:val="1"/>
      </w:numPr>
      <w:spacing w:before="720" w:after="240"/>
      <w:outlineLvl w:val="0"/>
    </w:pPr>
    <w:rPr>
      <w:b/>
      <w:sz w:val="28"/>
      <w:szCs w:val="20"/>
      <w:lang w:val="nb-NO"/>
    </w:rPr>
  </w:style>
  <w:style w:type="paragraph" w:styleId="Heading2">
    <w:name w:val="heading 2"/>
    <w:basedOn w:val="Normal"/>
    <w:next w:val="Normal"/>
    <w:link w:val="Heading2Char"/>
    <w:uiPriority w:val="9"/>
    <w:qFormat/>
    <w:rsid w:val="00E7794C"/>
    <w:pPr>
      <w:keepNext/>
      <w:numPr>
        <w:ilvl w:val="1"/>
        <w:numId w:val="3"/>
      </w:numPr>
      <w:tabs>
        <w:tab w:val="left" w:pos="1134"/>
      </w:tabs>
      <w:spacing w:before="720" w:after="240"/>
      <w:outlineLvl w:val="1"/>
    </w:pPr>
    <w:rPr>
      <w:b/>
      <w:sz w:val="24"/>
      <w:szCs w:val="20"/>
      <w:lang w:val="nb-NO"/>
    </w:rPr>
  </w:style>
  <w:style w:type="paragraph" w:styleId="Heading3">
    <w:name w:val="heading 3"/>
    <w:basedOn w:val="Normal"/>
    <w:next w:val="Normal"/>
    <w:link w:val="Heading3Char"/>
    <w:uiPriority w:val="9"/>
    <w:qFormat/>
    <w:rsid w:val="00E7794C"/>
    <w:pPr>
      <w:keepNext/>
      <w:numPr>
        <w:ilvl w:val="2"/>
        <w:numId w:val="2"/>
      </w:numPr>
      <w:spacing w:before="480" w:after="240"/>
      <w:outlineLvl w:val="2"/>
    </w:pPr>
    <w:rPr>
      <w:b/>
      <w:szCs w:val="20"/>
      <w:lang w:val="nb-NO"/>
    </w:rPr>
  </w:style>
  <w:style w:type="paragraph" w:styleId="Heading4">
    <w:name w:val="heading 4"/>
    <w:basedOn w:val="Normal"/>
    <w:next w:val="Normal"/>
    <w:link w:val="Heading4Char"/>
    <w:uiPriority w:val="9"/>
    <w:unhideWhenUsed/>
    <w:qFormat/>
    <w:rsid w:val="00FF467A"/>
    <w:pPr>
      <w:numPr>
        <w:numId w:val="24"/>
      </w:numPr>
      <w:spacing w:before="100" w:beforeAutospacing="1" w:after="100" w:afterAutospacing="1" w:line="276" w:lineRule="auto"/>
      <w:outlineLvl w:val="3"/>
    </w:pPr>
    <w:rPr>
      <w:rFonts w:asciiTheme="minorHAnsi" w:hAnsiTheme="minorHAnsi" w:cstheme="minorHAnsi"/>
    </w:rPr>
  </w:style>
  <w:style w:type="paragraph" w:styleId="Heading5">
    <w:name w:val="heading 5"/>
    <w:basedOn w:val="Normal"/>
    <w:next w:val="Normal"/>
    <w:link w:val="Heading5Char"/>
    <w:uiPriority w:val="9"/>
    <w:unhideWhenUsed/>
    <w:qFormat/>
    <w:rsid w:val="00EE1D94"/>
    <w:pPr>
      <w:keepNext/>
      <w:keepLines/>
      <w:spacing w:before="200" w:line="276" w:lineRule="auto"/>
      <w:jc w:val="left"/>
      <w:outlineLvl w:val="4"/>
    </w:pPr>
    <w:rPr>
      <w:rFonts w:asciiTheme="majorHAnsi" w:eastAsiaTheme="majorEastAsia" w:hAnsiTheme="majorHAnsi" w:cstheme="majorBidi"/>
      <w:szCs w:val="22"/>
      <w:lang w:val="en-US"/>
    </w:rPr>
  </w:style>
  <w:style w:type="paragraph" w:styleId="Heading6">
    <w:name w:val="heading 6"/>
    <w:basedOn w:val="Normal"/>
    <w:next w:val="Normal"/>
    <w:link w:val="Heading6Char"/>
    <w:uiPriority w:val="9"/>
    <w:semiHidden/>
    <w:unhideWhenUsed/>
    <w:rsid w:val="00EE1D94"/>
    <w:pPr>
      <w:keepNext/>
      <w:keepLines/>
      <w:spacing w:before="200" w:line="276" w:lineRule="auto"/>
      <w:jc w:val="left"/>
      <w:outlineLvl w:val="5"/>
    </w:pPr>
    <w:rPr>
      <w:rFonts w:asciiTheme="majorHAnsi" w:eastAsiaTheme="majorEastAsia" w:hAnsiTheme="majorHAnsi" w:cstheme="majorBidi"/>
      <w:i/>
      <w:iCs/>
      <w:szCs w:val="22"/>
      <w:lang w:val="en-US"/>
    </w:rPr>
  </w:style>
  <w:style w:type="paragraph" w:styleId="Heading7">
    <w:name w:val="heading 7"/>
    <w:basedOn w:val="Normal"/>
    <w:next w:val="Normal"/>
    <w:link w:val="Heading7Char"/>
    <w:uiPriority w:val="9"/>
    <w:semiHidden/>
    <w:unhideWhenUsed/>
    <w:rsid w:val="00EE1D94"/>
    <w:pPr>
      <w:keepNext/>
      <w:keepLines/>
      <w:spacing w:before="200" w:line="276" w:lineRule="auto"/>
      <w:jc w:val="left"/>
      <w:outlineLvl w:val="6"/>
    </w:pPr>
    <w:rPr>
      <w:rFonts w:asciiTheme="majorHAnsi" w:eastAsiaTheme="majorEastAsia" w:hAnsiTheme="majorHAnsi" w:cstheme="majorBidi"/>
      <w:i/>
      <w:iCs/>
      <w:szCs w:val="22"/>
      <w:lang w:val="en-US"/>
    </w:rPr>
  </w:style>
  <w:style w:type="paragraph" w:styleId="Heading8">
    <w:name w:val="heading 8"/>
    <w:basedOn w:val="Normal"/>
    <w:next w:val="Normal"/>
    <w:link w:val="Heading8Char"/>
    <w:uiPriority w:val="9"/>
    <w:semiHidden/>
    <w:unhideWhenUsed/>
    <w:rsid w:val="00EE1D94"/>
    <w:pPr>
      <w:keepNext/>
      <w:keepLines/>
      <w:spacing w:before="200" w:line="276" w:lineRule="auto"/>
      <w:jc w:val="left"/>
      <w:outlineLvl w:val="7"/>
    </w:pPr>
    <w:rPr>
      <w:rFonts w:asciiTheme="majorHAnsi" w:eastAsiaTheme="majorEastAsia" w:hAnsiTheme="majorHAnsi" w:cstheme="majorBidi"/>
      <w:sz w:val="20"/>
      <w:szCs w:val="20"/>
      <w:lang w:val="en-US"/>
    </w:rPr>
  </w:style>
  <w:style w:type="paragraph" w:styleId="Heading9">
    <w:name w:val="heading 9"/>
    <w:basedOn w:val="Normal"/>
    <w:next w:val="Normal"/>
    <w:link w:val="Heading9Char"/>
    <w:uiPriority w:val="9"/>
    <w:semiHidden/>
    <w:unhideWhenUsed/>
    <w:rsid w:val="00EE1D94"/>
    <w:pPr>
      <w:keepNext/>
      <w:keepLines/>
      <w:spacing w:before="200" w:line="276" w:lineRule="auto"/>
      <w:jc w:val="left"/>
      <w:outlineLvl w:val="8"/>
    </w:pPr>
    <w:rPr>
      <w:rFonts w:asciiTheme="majorHAnsi" w:eastAsiaTheme="majorEastAsia" w:hAnsiTheme="majorHAnsi" w:cstheme="majorBidi"/>
      <w:i/>
      <w:i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E1D94"/>
    <w:rPr>
      <w:rFonts w:ascii="Calibri" w:hAnsi="Calibri"/>
      <w:b/>
      <w:sz w:val="28"/>
      <w:lang w:eastAsia="en-US"/>
    </w:rPr>
  </w:style>
  <w:style w:type="character" w:customStyle="1" w:styleId="Heading2Char">
    <w:name w:val="Heading 2 Char"/>
    <w:basedOn w:val="DefaultParagraphFont"/>
    <w:link w:val="Heading2"/>
    <w:uiPriority w:val="9"/>
    <w:rsid w:val="00EE1D94"/>
    <w:rPr>
      <w:rFonts w:ascii="Calibri" w:hAnsi="Calibri"/>
      <w:b/>
      <w:sz w:val="24"/>
      <w:lang w:eastAsia="en-US"/>
    </w:rPr>
  </w:style>
  <w:style w:type="character" w:customStyle="1" w:styleId="Heading3Char">
    <w:name w:val="Heading 3 Char"/>
    <w:basedOn w:val="DefaultParagraphFont"/>
    <w:link w:val="Heading3"/>
    <w:uiPriority w:val="9"/>
    <w:rsid w:val="00EE1D94"/>
    <w:rPr>
      <w:rFonts w:ascii="Calibri" w:hAnsi="Calibri"/>
      <w:b/>
      <w:sz w:val="22"/>
      <w:lang w:eastAsia="en-US"/>
    </w:rPr>
  </w:style>
  <w:style w:type="character" w:customStyle="1" w:styleId="Heading4Char">
    <w:name w:val="Heading 4 Char"/>
    <w:basedOn w:val="DefaultParagraphFont"/>
    <w:link w:val="Heading4"/>
    <w:uiPriority w:val="9"/>
    <w:rsid w:val="002B4FFB"/>
    <w:rPr>
      <w:rFonts w:asciiTheme="minorHAnsi" w:hAnsiTheme="minorHAnsi" w:cstheme="minorHAnsi"/>
      <w:sz w:val="22"/>
      <w:szCs w:val="24"/>
      <w:lang w:val="en-GB" w:eastAsia="en-US"/>
    </w:rPr>
  </w:style>
  <w:style w:type="character" w:customStyle="1" w:styleId="Heading5Char">
    <w:name w:val="Heading 5 Char"/>
    <w:basedOn w:val="DefaultParagraphFont"/>
    <w:link w:val="Heading5"/>
    <w:uiPriority w:val="9"/>
    <w:rsid w:val="00EE1D94"/>
    <w:rPr>
      <w:rFonts w:asciiTheme="majorHAnsi" w:eastAsiaTheme="majorEastAsia" w:hAnsiTheme="majorHAnsi" w:cstheme="majorBidi"/>
      <w:sz w:val="22"/>
      <w:szCs w:val="22"/>
      <w:lang w:val="en-US" w:eastAsia="en-US"/>
    </w:rPr>
  </w:style>
  <w:style w:type="character" w:customStyle="1" w:styleId="Heading6Char">
    <w:name w:val="Heading 6 Char"/>
    <w:basedOn w:val="DefaultParagraphFont"/>
    <w:link w:val="Heading6"/>
    <w:uiPriority w:val="9"/>
    <w:semiHidden/>
    <w:rsid w:val="00EE1D94"/>
    <w:rPr>
      <w:rFonts w:asciiTheme="majorHAnsi" w:eastAsiaTheme="majorEastAsia" w:hAnsiTheme="majorHAnsi" w:cstheme="majorBidi"/>
      <w:i/>
      <w:iCs/>
      <w:sz w:val="22"/>
      <w:szCs w:val="22"/>
      <w:lang w:val="en-US" w:eastAsia="en-US"/>
    </w:rPr>
  </w:style>
  <w:style w:type="character" w:customStyle="1" w:styleId="Heading7Char">
    <w:name w:val="Heading 7 Char"/>
    <w:basedOn w:val="DefaultParagraphFont"/>
    <w:link w:val="Heading7"/>
    <w:uiPriority w:val="9"/>
    <w:semiHidden/>
    <w:rsid w:val="00EE1D94"/>
    <w:rPr>
      <w:rFonts w:asciiTheme="majorHAnsi" w:eastAsiaTheme="majorEastAsia" w:hAnsiTheme="majorHAnsi" w:cstheme="majorBidi"/>
      <w:i/>
      <w:iCs/>
      <w:sz w:val="22"/>
      <w:szCs w:val="22"/>
      <w:lang w:val="en-US" w:eastAsia="en-US"/>
    </w:rPr>
  </w:style>
  <w:style w:type="character" w:customStyle="1" w:styleId="Heading8Char">
    <w:name w:val="Heading 8 Char"/>
    <w:basedOn w:val="DefaultParagraphFont"/>
    <w:link w:val="Heading8"/>
    <w:uiPriority w:val="9"/>
    <w:semiHidden/>
    <w:rsid w:val="00EE1D94"/>
    <w:rPr>
      <w:rFonts w:asciiTheme="majorHAnsi" w:eastAsiaTheme="majorEastAsia" w:hAnsiTheme="majorHAnsi" w:cstheme="majorBidi"/>
      <w:lang w:val="en-US" w:eastAsia="en-US"/>
    </w:rPr>
  </w:style>
  <w:style w:type="character" w:customStyle="1" w:styleId="Heading9Char">
    <w:name w:val="Heading 9 Char"/>
    <w:basedOn w:val="DefaultParagraphFont"/>
    <w:link w:val="Heading9"/>
    <w:uiPriority w:val="9"/>
    <w:semiHidden/>
    <w:rsid w:val="00EE1D94"/>
    <w:rPr>
      <w:rFonts w:asciiTheme="majorHAnsi" w:eastAsiaTheme="majorEastAsia" w:hAnsiTheme="majorHAnsi" w:cstheme="majorBidi"/>
      <w:i/>
      <w:iCs/>
      <w:lang w:val="en-US" w:eastAsia="en-US"/>
    </w:rPr>
  </w:style>
  <w:style w:type="paragraph" w:styleId="Header">
    <w:name w:val="header"/>
    <w:basedOn w:val="Normal"/>
    <w:link w:val="HeaderChar"/>
    <w:uiPriority w:val="99"/>
    <w:rsid w:val="004875BE"/>
    <w:pPr>
      <w:tabs>
        <w:tab w:val="center" w:pos="4153"/>
        <w:tab w:val="right" w:pos="8306"/>
      </w:tabs>
    </w:pPr>
    <w:rPr>
      <w:szCs w:val="20"/>
      <w:lang w:val="nb-NO"/>
    </w:rPr>
  </w:style>
  <w:style w:type="character" w:customStyle="1" w:styleId="HeaderChar">
    <w:name w:val="Header Char"/>
    <w:basedOn w:val="DefaultParagraphFont"/>
    <w:link w:val="Header"/>
    <w:uiPriority w:val="99"/>
    <w:rsid w:val="00CB64A6"/>
    <w:rPr>
      <w:rFonts w:ascii="Calibri" w:hAnsi="Calibri"/>
      <w:sz w:val="22"/>
      <w:lang w:eastAsia="en-US"/>
    </w:rPr>
  </w:style>
  <w:style w:type="paragraph" w:customStyle="1" w:styleId="FORSIDEProsjektnr">
    <w:name w:val="FORSIDE_Prosjektnr"/>
    <w:basedOn w:val="Normal"/>
    <w:next w:val="Normal"/>
    <w:rsid w:val="004875BE"/>
    <w:rPr>
      <w:b/>
      <w:sz w:val="24"/>
      <w:szCs w:val="20"/>
      <w:lang w:val="nb-NO"/>
    </w:rPr>
  </w:style>
  <w:style w:type="paragraph" w:customStyle="1" w:styleId="Headertekst8pkt">
    <w:name w:val="Headertekst_8pkt"/>
    <w:basedOn w:val="Normal"/>
    <w:rsid w:val="004875BE"/>
    <w:pPr>
      <w:tabs>
        <w:tab w:val="left" w:pos="2340"/>
        <w:tab w:val="right" w:pos="4320"/>
        <w:tab w:val="left" w:pos="4680"/>
        <w:tab w:val="left" w:pos="5220"/>
        <w:tab w:val="right" w:pos="8100"/>
        <w:tab w:val="left" w:pos="8280"/>
        <w:tab w:val="left" w:pos="8820"/>
      </w:tabs>
    </w:pPr>
    <w:rPr>
      <w:sz w:val="16"/>
      <w:szCs w:val="20"/>
      <w:lang w:val="nb-NO"/>
    </w:rPr>
  </w:style>
  <w:style w:type="paragraph" w:styleId="Footer">
    <w:name w:val="footer"/>
    <w:basedOn w:val="Normal"/>
    <w:link w:val="FooterChar"/>
    <w:uiPriority w:val="99"/>
    <w:rsid w:val="004875BE"/>
    <w:pPr>
      <w:tabs>
        <w:tab w:val="center" w:pos="4536"/>
        <w:tab w:val="right" w:pos="9072"/>
      </w:tabs>
    </w:pPr>
  </w:style>
  <w:style w:type="character" w:customStyle="1" w:styleId="FooterChar">
    <w:name w:val="Footer Char"/>
    <w:basedOn w:val="DefaultParagraphFont"/>
    <w:link w:val="Footer"/>
    <w:uiPriority w:val="99"/>
    <w:qFormat/>
    <w:rsid w:val="00CB64A6"/>
    <w:rPr>
      <w:rFonts w:ascii="Calibri" w:hAnsi="Calibri"/>
      <w:sz w:val="22"/>
      <w:szCs w:val="24"/>
      <w:lang w:val="en-GB" w:eastAsia="en-US"/>
    </w:rPr>
  </w:style>
  <w:style w:type="paragraph" w:styleId="BalloonText">
    <w:name w:val="Balloon Text"/>
    <w:basedOn w:val="Normal"/>
    <w:link w:val="BalloonTextChar"/>
    <w:uiPriority w:val="99"/>
    <w:rsid w:val="00FF1E0E"/>
    <w:rPr>
      <w:rFonts w:ascii="Tahoma" w:hAnsi="Tahoma" w:cs="Tahoma"/>
      <w:sz w:val="16"/>
      <w:szCs w:val="16"/>
    </w:rPr>
  </w:style>
  <w:style w:type="character" w:customStyle="1" w:styleId="BalloonTextChar">
    <w:name w:val="Balloon Text Char"/>
    <w:basedOn w:val="DefaultParagraphFont"/>
    <w:link w:val="BalloonText"/>
    <w:uiPriority w:val="99"/>
    <w:rsid w:val="00FF1E0E"/>
    <w:rPr>
      <w:rFonts w:ascii="Tahoma" w:hAnsi="Tahoma" w:cs="Tahoma"/>
      <w:sz w:val="16"/>
      <w:szCs w:val="16"/>
      <w:lang w:val="en-GB" w:eastAsia="en-US"/>
    </w:rPr>
  </w:style>
  <w:style w:type="paragraph" w:styleId="Title">
    <w:name w:val="Title"/>
    <w:basedOn w:val="Normal"/>
    <w:next w:val="Normal"/>
    <w:link w:val="TitleChar"/>
    <w:uiPriority w:val="10"/>
    <w:rsid w:val="00EE1D94"/>
    <w:pPr>
      <w:pBdr>
        <w:bottom w:val="single" w:sz="8" w:space="4" w:color="4F81BD" w:themeColor="accent1"/>
      </w:pBdr>
      <w:spacing w:after="300"/>
      <w:contextualSpacing/>
      <w:jc w:val="left"/>
    </w:pPr>
    <w:rPr>
      <w:rFonts w:asciiTheme="minorHAnsi" w:eastAsiaTheme="majorEastAsia" w:hAnsiTheme="minorHAnsi" w:cstheme="majorBidi"/>
      <w:spacing w:val="5"/>
      <w:kern w:val="28"/>
      <w:sz w:val="56"/>
      <w:szCs w:val="52"/>
      <w:lang w:val="en-US"/>
    </w:rPr>
  </w:style>
  <w:style w:type="character" w:customStyle="1" w:styleId="TitleChar">
    <w:name w:val="Title Char"/>
    <w:basedOn w:val="DefaultParagraphFont"/>
    <w:link w:val="Title"/>
    <w:uiPriority w:val="10"/>
    <w:rsid w:val="00EE1D94"/>
    <w:rPr>
      <w:rFonts w:asciiTheme="minorHAnsi" w:eastAsiaTheme="majorEastAsia" w:hAnsiTheme="minorHAnsi" w:cstheme="majorBidi"/>
      <w:spacing w:val="5"/>
      <w:kern w:val="28"/>
      <w:sz w:val="56"/>
      <w:szCs w:val="52"/>
      <w:lang w:val="en-US" w:eastAsia="en-US"/>
    </w:rPr>
  </w:style>
  <w:style w:type="paragraph" w:styleId="Subtitle">
    <w:name w:val="Subtitle"/>
    <w:basedOn w:val="Normal"/>
    <w:next w:val="Normal"/>
    <w:link w:val="SubtitleChar"/>
    <w:uiPriority w:val="11"/>
    <w:rsid w:val="00EE1D94"/>
    <w:pPr>
      <w:spacing w:after="200" w:line="276" w:lineRule="auto"/>
      <w:jc w:val="left"/>
    </w:pPr>
    <w:rPr>
      <w:rFonts w:asciiTheme="minorHAnsi" w:eastAsiaTheme="minorEastAsia" w:hAnsiTheme="minorHAnsi" w:cstheme="minorBidi"/>
      <w:i/>
      <w:sz w:val="44"/>
      <w:szCs w:val="22"/>
      <w:lang w:val="en-US"/>
    </w:rPr>
  </w:style>
  <w:style w:type="character" w:customStyle="1" w:styleId="SubtitleChar">
    <w:name w:val="Subtitle Char"/>
    <w:basedOn w:val="DefaultParagraphFont"/>
    <w:link w:val="Subtitle"/>
    <w:uiPriority w:val="11"/>
    <w:rsid w:val="00EE1D94"/>
    <w:rPr>
      <w:rFonts w:asciiTheme="minorHAnsi" w:eastAsiaTheme="minorEastAsia" w:hAnsiTheme="minorHAnsi" w:cstheme="minorBidi"/>
      <w:i/>
      <w:sz w:val="44"/>
      <w:szCs w:val="22"/>
      <w:lang w:val="en-US" w:eastAsia="en-US"/>
    </w:rPr>
  </w:style>
  <w:style w:type="table" w:styleId="TableGrid">
    <w:name w:val="Table Grid"/>
    <w:basedOn w:val="TableNormal"/>
    <w:uiPriority w:val="59"/>
    <w:rsid w:val="00EE1D9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EE1D94"/>
    <w:rPr>
      <w:rFonts w:asciiTheme="minorHAnsi" w:eastAsiaTheme="minorHAnsi" w:hAnsiTheme="minorHAnsi" w:cstheme="minorBidi"/>
      <w:color w:val="000000" w:themeColor="text1"/>
      <w:sz w:val="22"/>
      <w:szCs w:val="22"/>
      <w:lang w:eastAsia="en-US"/>
    </w:rPr>
  </w:style>
  <w:style w:type="character" w:customStyle="1" w:styleId="NoSpacingChar">
    <w:name w:val="No Spacing Char"/>
    <w:basedOn w:val="DefaultParagraphFont"/>
    <w:link w:val="NoSpacing"/>
    <w:uiPriority w:val="1"/>
    <w:rsid w:val="006A07D1"/>
    <w:rPr>
      <w:rFonts w:asciiTheme="minorHAnsi" w:eastAsiaTheme="minorHAnsi" w:hAnsiTheme="minorHAnsi" w:cstheme="minorBidi"/>
      <w:color w:val="000000" w:themeColor="text1"/>
      <w:sz w:val="22"/>
      <w:szCs w:val="22"/>
      <w:lang w:eastAsia="en-US"/>
    </w:rPr>
  </w:style>
  <w:style w:type="paragraph" w:styleId="Caption">
    <w:name w:val="caption"/>
    <w:basedOn w:val="Normal"/>
    <w:next w:val="Normal"/>
    <w:unhideWhenUsed/>
    <w:qFormat/>
    <w:rsid w:val="00EE1D94"/>
    <w:pPr>
      <w:spacing w:after="200"/>
      <w:jc w:val="left"/>
    </w:pPr>
    <w:rPr>
      <w:rFonts w:asciiTheme="minorHAnsi" w:eastAsiaTheme="minorEastAsia" w:hAnsiTheme="minorHAnsi" w:cstheme="minorBidi"/>
      <w:b/>
      <w:bCs/>
      <w:sz w:val="18"/>
      <w:szCs w:val="18"/>
      <w:lang w:val="en-US"/>
    </w:rPr>
  </w:style>
  <w:style w:type="paragraph" w:styleId="TOCHeading">
    <w:name w:val="TOC Heading"/>
    <w:basedOn w:val="Heading1"/>
    <w:next w:val="Normal"/>
    <w:uiPriority w:val="39"/>
    <w:semiHidden/>
    <w:unhideWhenUsed/>
    <w:qFormat/>
    <w:rsid w:val="00EE1D94"/>
    <w:pPr>
      <w:keepLines/>
      <w:spacing w:before="480" w:after="0" w:line="276" w:lineRule="auto"/>
      <w:ind w:left="720" w:hanging="360"/>
      <w:jc w:val="left"/>
      <w:outlineLvl w:val="9"/>
    </w:pPr>
    <w:rPr>
      <w:rFonts w:asciiTheme="minorHAnsi" w:eastAsiaTheme="majorEastAsia" w:hAnsiTheme="minorHAnsi" w:cstheme="majorBidi"/>
      <w:bCs/>
      <w:sz w:val="24"/>
      <w:szCs w:val="28"/>
      <w:lang w:val="en-US"/>
    </w:rPr>
  </w:style>
  <w:style w:type="paragraph" w:styleId="BodyText">
    <w:name w:val="Body Text"/>
    <w:basedOn w:val="Normal"/>
    <w:link w:val="BodyTextChar"/>
    <w:uiPriority w:val="99"/>
    <w:unhideWhenUsed/>
    <w:rsid w:val="00EE1D94"/>
    <w:pPr>
      <w:spacing w:after="200" w:line="276" w:lineRule="auto"/>
      <w:jc w:val="left"/>
    </w:pPr>
    <w:rPr>
      <w:rFonts w:asciiTheme="minorHAnsi" w:eastAsiaTheme="minorEastAsia" w:hAnsiTheme="minorHAnsi" w:cstheme="minorBidi"/>
      <w:szCs w:val="22"/>
      <w:lang w:val="en-US"/>
    </w:rPr>
  </w:style>
  <w:style w:type="character" w:customStyle="1" w:styleId="BodyTextChar">
    <w:name w:val="Body Text Char"/>
    <w:basedOn w:val="DefaultParagraphFont"/>
    <w:link w:val="BodyText"/>
    <w:uiPriority w:val="99"/>
    <w:rsid w:val="00EE1D94"/>
    <w:rPr>
      <w:rFonts w:asciiTheme="minorHAnsi" w:eastAsiaTheme="minorEastAsia" w:hAnsiTheme="minorHAnsi" w:cstheme="minorBidi"/>
      <w:sz w:val="22"/>
      <w:szCs w:val="22"/>
      <w:lang w:val="en-US" w:eastAsia="en-US"/>
    </w:rPr>
  </w:style>
  <w:style w:type="paragraph" w:styleId="ListParagraph">
    <w:name w:val="List Paragraph"/>
    <w:aliases w:val="cv list paragraph,List Paragraph1,Párrafo de lista,ITEM NUMBER,Numbered Para 1,Dot pt,No Spacing1,List Paragraph Char Char Char,Indicator Text,Bullet 1,Bullet Points,MAIN CONTENT,List Paragraph12,Bullet Style,F5 List Paragraph,OBC Bullet"/>
    <w:basedOn w:val="Normal"/>
    <w:link w:val="ListParagraphChar"/>
    <w:uiPriority w:val="34"/>
    <w:qFormat/>
    <w:rsid w:val="00EE1D94"/>
    <w:pPr>
      <w:spacing w:after="200" w:line="276" w:lineRule="auto"/>
      <w:ind w:left="720"/>
      <w:contextualSpacing/>
      <w:jc w:val="left"/>
    </w:pPr>
    <w:rPr>
      <w:rFonts w:asciiTheme="minorHAnsi" w:eastAsiaTheme="minorEastAsia" w:hAnsiTheme="minorHAnsi" w:cstheme="minorBidi"/>
      <w:szCs w:val="22"/>
      <w:lang w:val="en-US"/>
    </w:rPr>
  </w:style>
  <w:style w:type="character" w:customStyle="1" w:styleId="ListParagraphChar">
    <w:name w:val="List Paragraph Char"/>
    <w:aliases w:val="cv list paragraph Char,List Paragraph1 Char,Párrafo de lista Char,ITEM NUMBER Char,Numbered Para 1 Char,Dot pt Char,No Spacing1 Char,List Paragraph Char Char Char Char,Indicator Text Char,Bullet 1 Char,Bullet Points Char"/>
    <w:link w:val="ListParagraph"/>
    <w:uiPriority w:val="34"/>
    <w:qFormat/>
    <w:locked/>
    <w:rsid w:val="00EE1D94"/>
    <w:rPr>
      <w:rFonts w:asciiTheme="minorHAnsi" w:eastAsiaTheme="minorEastAsia" w:hAnsiTheme="minorHAnsi" w:cstheme="minorBidi"/>
      <w:sz w:val="22"/>
      <w:szCs w:val="22"/>
      <w:lang w:val="en-US" w:eastAsia="en-US"/>
    </w:rPr>
  </w:style>
  <w:style w:type="character" w:styleId="Hyperlink">
    <w:name w:val="Hyperlink"/>
    <w:basedOn w:val="DefaultParagraphFont"/>
    <w:uiPriority w:val="99"/>
    <w:unhideWhenUsed/>
    <w:rsid w:val="00EE1D94"/>
    <w:rPr>
      <w:color w:val="0000FF" w:themeColor="hyperlink"/>
      <w:u w:val="single"/>
    </w:rPr>
  </w:style>
  <w:style w:type="table" w:customStyle="1" w:styleId="azulwp">
    <w:name w:val="azul wp"/>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1">
    <w:name w:val="azul wp1"/>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2">
    <w:name w:val="azul wp2"/>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3">
    <w:name w:val="azul wp3"/>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paragraph" w:styleId="CommentText">
    <w:name w:val="annotation text"/>
    <w:basedOn w:val="Normal"/>
    <w:link w:val="CommentTextChar"/>
    <w:uiPriority w:val="99"/>
    <w:unhideWhenUsed/>
    <w:rsid w:val="00EE1D94"/>
    <w:pPr>
      <w:spacing w:after="200"/>
      <w:jc w:val="left"/>
    </w:pPr>
    <w:rPr>
      <w:rFonts w:asciiTheme="minorHAnsi" w:eastAsiaTheme="minorEastAsia" w:hAnsiTheme="minorHAnsi" w:cstheme="minorBidi"/>
      <w:sz w:val="20"/>
      <w:szCs w:val="20"/>
      <w:lang w:val="en-US"/>
    </w:rPr>
  </w:style>
  <w:style w:type="character" w:customStyle="1" w:styleId="CommentTextChar">
    <w:name w:val="Comment Text Char"/>
    <w:basedOn w:val="DefaultParagraphFont"/>
    <w:link w:val="CommentText"/>
    <w:uiPriority w:val="99"/>
    <w:rsid w:val="00EE1D94"/>
    <w:rPr>
      <w:rFonts w:asciiTheme="minorHAnsi" w:eastAsiaTheme="minorEastAsia" w:hAnsiTheme="minorHAnsi" w:cstheme="minorBidi"/>
      <w:lang w:val="en-US" w:eastAsia="en-US"/>
    </w:rPr>
  </w:style>
  <w:style w:type="character" w:customStyle="1" w:styleId="longtext">
    <w:name w:val="long_text"/>
    <w:rsid w:val="00EE1D94"/>
  </w:style>
  <w:style w:type="table" w:customStyle="1" w:styleId="TableGrid2">
    <w:name w:val="Table Grid2"/>
    <w:basedOn w:val="TableNormal"/>
    <w:next w:val="TableGrid"/>
    <w:uiPriority w:val="39"/>
    <w:rsid w:val="0001206D"/>
    <w:rPr>
      <w:rFonts w:asciiTheme="minorHAnsi" w:eastAsiaTheme="minorEastAsia" w:hAnsiTheme="minorHAnsi" w:cstheme="minorBidi"/>
      <w:sz w:val="22"/>
      <w:szCs w:val="22"/>
      <w:lang w:val="ro-R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A07D1"/>
    <w:rPr>
      <w:rFonts w:asciiTheme="minorHAnsi" w:eastAsiaTheme="minorEastAsia" w:hAnsiTheme="minorHAnsi" w:cstheme="minorBidi"/>
      <w:sz w:val="22"/>
      <w:szCs w:val="22"/>
      <w:lang w:val="ro-R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A07D1"/>
  </w:style>
  <w:style w:type="table" w:customStyle="1" w:styleId="azulwp4">
    <w:name w:val="azul wp4"/>
    <w:basedOn w:val="TableNormal"/>
    <w:uiPriority w:val="99"/>
    <w:rsid w:val="00201A95"/>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paragraph" w:styleId="ListBullet">
    <w:name w:val="List Bullet"/>
    <w:basedOn w:val="Normal"/>
    <w:uiPriority w:val="99"/>
    <w:unhideWhenUsed/>
    <w:rsid w:val="00201A95"/>
    <w:pPr>
      <w:numPr>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2">
    <w:name w:val="List Bullet 2"/>
    <w:basedOn w:val="Normal"/>
    <w:uiPriority w:val="99"/>
    <w:unhideWhenUsed/>
    <w:rsid w:val="00201A95"/>
    <w:pPr>
      <w:numPr>
        <w:ilvl w:val="1"/>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3">
    <w:name w:val="List Bullet 3"/>
    <w:basedOn w:val="Normal"/>
    <w:uiPriority w:val="99"/>
    <w:unhideWhenUsed/>
    <w:rsid w:val="00201A95"/>
    <w:pPr>
      <w:numPr>
        <w:ilvl w:val="2"/>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4">
    <w:name w:val="List Bullet 4"/>
    <w:basedOn w:val="Normal"/>
    <w:uiPriority w:val="99"/>
    <w:unhideWhenUsed/>
    <w:rsid w:val="00201A95"/>
    <w:pPr>
      <w:numPr>
        <w:ilvl w:val="3"/>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5">
    <w:name w:val="List Bullet 5"/>
    <w:basedOn w:val="Normal"/>
    <w:uiPriority w:val="99"/>
    <w:unhideWhenUsed/>
    <w:rsid w:val="00201A95"/>
    <w:pPr>
      <w:numPr>
        <w:ilvl w:val="4"/>
        <w:numId w:val="13"/>
      </w:numPr>
      <w:spacing w:line="312" w:lineRule="auto"/>
      <w:contextualSpacing/>
    </w:pPr>
    <w:rPr>
      <w:rFonts w:asciiTheme="minorHAnsi" w:hAnsiTheme="minorHAnsi"/>
      <w:color w:val="404040" w:themeColor="text1" w:themeTint="BF"/>
      <w:szCs w:val="20"/>
      <w:lang w:val="es-ES" w:eastAsia="es-ES_tradnl"/>
    </w:rPr>
  </w:style>
  <w:style w:type="paragraph" w:customStyle="1" w:styleId="Listaconvietas6">
    <w:name w:val="Lista con viñetas 6"/>
    <w:basedOn w:val="Normal"/>
    <w:rsid w:val="00201A95"/>
    <w:pPr>
      <w:numPr>
        <w:ilvl w:val="5"/>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7">
    <w:name w:val="Lista con viñetas 7"/>
    <w:basedOn w:val="Normal"/>
    <w:rsid w:val="00201A95"/>
    <w:pPr>
      <w:numPr>
        <w:ilvl w:val="6"/>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8">
    <w:name w:val="Lista con viñetas 8"/>
    <w:basedOn w:val="Normal"/>
    <w:rsid w:val="00201A95"/>
    <w:pPr>
      <w:numPr>
        <w:ilvl w:val="7"/>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9">
    <w:name w:val="Lista con viñetas 9"/>
    <w:basedOn w:val="Normal"/>
    <w:rsid w:val="00201A95"/>
    <w:pPr>
      <w:numPr>
        <w:ilvl w:val="8"/>
        <w:numId w:val="13"/>
      </w:numPr>
      <w:spacing w:line="312" w:lineRule="auto"/>
    </w:pPr>
    <w:rPr>
      <w:rFonts w:asciiTheme="minorHAnsi" w:hAnsiTheme="minorHAnsi"/>
      <w:color w:val="404040" w:themeColor="text1" w:themeTint="BF"/>
      <w:szCs w:val="20"/>
      <w:lang w:val="es-ES" w:eastAsia="es-ES_tradnl"/>
    </w:rPr>
  </w:style>
  <w:style w:type="table" w:customStyle="1" w:styleId="azulwp5">
    <w:name w:val="azul wp5"/>
    <w:basedOn w:val="TableNormal"/>
    <w:uiPriority w:val="99"/>
    <w:rsid w:val="00201A95"/>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6">
    <w:name w:val="azul wp6"/>
    <w:basedOn w:val="TableNormal"/>
    <w:uiPriority w:val="99"/>
    <w:rsid w:val="009879A8"/>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character" w:styleId="CommentReference">
    <w:name w:val="annotation reference"/>
    <w:basedOn w:val="DefaultParagraphFont"/>
    <w:uiPriority w:val="99"/>
    <w:semiHidden/>
    <w:unhideWhenUsed/>
    <w:rsid w:val="00F131A0"/>
    <w:rPr>
      <w:sz w:val="16"/>
      <w:szCs w:val="16"/>
    </w:rPr>
  </w:style>
  <w:style w:type="paragraph" w:styleId="CommentSubject">
    <w:name w:val="annotation subject"/>
    <w:basedOn w:val="CommentText"/>
    <w:next w:val="CommentText"/>
    <w:link w:val="CommentSubjectChar"/>
    <w:uiPriority w:val="99"/>
    <w:semiHidden/>
    <w:unhideWhenUsed/>
    <w:rsid w:val="00F131A0"/>
    <w:pPr>
      <w:spacing w:after="0"/>
      <w:jc w:val="both"/>
    </w:pPr>
    <w:rPr>
      <w:rFonts w:ascii="Calibri" w:eastAsia="Times New Roman" w:hAnsi="Calibri" w:cs="Times New Roman"/>
      <w:b/>
      <w:bCs/>
      <w:lang w:val="en-GB"/>
    </w:rPr>
  </w:style>
  <w:style w:type="character" w:customStyle="1" w:styleId="CommentSubjectChar">
    <w:name w:val="Comment Subject Char"/>
    <w:basedOn w:val="CommentTextChar"/>
    <w:link w:val="CommentSubject"/>
    <w:uiPriority w:val="99"/>
    <w:semiHidden/>
    <w:rsid w:val="00F131A0"/>
    <w:rPr>
      <w:rFonts w:ascii="Calibri" w:eastAsiaTheme="minorEastAsia" w:hAnsi="Calibri" w:cstheme="minorBidi"/>
      <w:b/>
      <w:bCs/>
      <w:lang w:val="en-GB" w:eastAsia="en-US"/>
    </w:rPr>
  </w:style>
  <w:style w:type="paragraph" w:styleId="NormalWeb">
    <w:name w:val="Normal (Web)"/>
    <w:basedOn w:val="Normal"/>
    <w:uiPriority w:val="99"/>
    <w:unhideWhenUsed/>
    <w:rsid w:val="001E6DA6"/>
    <w:pPr>
      <w:spacing w:before="100" w:beforeAutospacing="1" w:after="100" w:afterAutospacing="1"/>
      <w:jc w:val="left"/>
    </w:pPr>
    <w:rPr>
      <w:rFonts w:ascii="Times New Roman" w:hAnsi="Times New Roman"/>
      <w:sz w:val="24"/>
    </w:rPr>
  </w:style>
  <w:style w:type="character" w:customStyle="1" w:styleId="ttext">
    <w:name w:val="t_text"/>
    <w:basedOn w:val="DefaultParagraphFont"/>
    <w:rsid w:val="001E6DA6"/>
  </w:style>
  <w:style w:type="paragraph" w:customStyle="1" w:styleId="Left2">
    <w:name w:val="Left 2"/>
    <w:basedOn w:val="Normal"/>
    <w:uiPriority w:val="99"/>
    <w:rsid w:val="0099696C"/>
    <w:pPr>
      <w:widowControl w:val="0"/>
      <w:numPr>
        <w:numId w:val="20"/>
      </w:numPr>
      <w:tabs>
        <w:tab w:val="num" w:pos="-2790"/>
      </w:tabs>
      <w:autoSpaceDE w:val="0"/>
      <w:autoSpaceDN w:val="0"/>
      <w:adjustRightInd w:val="0"/>
      <w:spacing w:after="120"/>
      <w:ind w:left="1440"/>
    </w:pPr>
    <w:rPr>
      <w:rFonts w:ascii="Arial" w:hAnsi="Arial" w:cs="Calibri"/>
      <w:bCs/>
      <w:color w:val="000000"/>
      <w:sz w:val="20"/>
      <w:szCs w:val="20"/>
      <w:lang w:eastAsia="en-GB"/>
    </w:rPr>
  </w:style>
  <w:style w:type="numbering" w:customStyle="1" w:styleId="StyleBulleted">
    <w:name w:val="Style Bulleted"/>
    <w:rsid w:val="0099696C"/>
    <w:pPr>
      <w:numPr>
        <w:numId w:val="21"/>
      </w:numPr>
    </w:pPr>
  </w:style>
  <w:style w:type="paragraph" w:customStyle="1" w:styleId="xxxmsonormal">
    <w:name w:val="xxxmsonormal"/>
    <w:basedOn w:val="Normal"/>
    <w:rsid w:val="0099696C"/>
    <w:pPr>
      <w:jc w:val="left"/>
    </w:pPr>
    <w:rPr>
      <w:rFonts w:eastAsiaTheme="minorHAnsi" w:cs="Calibri"/>
      <w:szCs w:val="22"/>
      <w:lang w:val="en-US"/>
    </w:rPr>
  </w:style>
  <w:style w:type="character" w:customStyle="1" w:styleId="normaltextrun">
    <w:name w:val="normaltextrun"/>
    <w:basedOn w:val="DefaultParagraphFont"/>
    <w:rsid w:val="00B0266F"/>
  </w:style>
  <w:style w:type="character" w:customStyle="1" w:styleId="eop">
    <w:name w:val="eop"/>
    <w:basedOn w:val="DefaultParagraphFont"/>
    <w:rsid w:val="00B0266F"/>
  </w:style>
  <w:style w:type="paragraph" w:customStyle="1" w:styleId="paragraph">
    <w:name w:val="paragraph"/>
    <w:basedOn w:val="Normal"/>
    <w:rsid w:val="00321230"/>
    <w:pPr>
      <w:spacing w:before="100" w:beforeAutospacing="1" w:after="100" w:afterAutospacing="1"/>
      <w:jc w:val="left"/>
    </w:pPr>
    <w:rPr>
      <w:rFonts w:ascii="Times New Roman" w:hAnsi="Times New Roman"/>
      <w:sz w:val="24"/>
      <w:lang w:val="en-US"/>
    </w:rPr>
  </w:style>
  <w:style w:type="paragraph" w:customStyle="1" w:styleId="xmsolistparagraph">
    <w:name w:val="x_msolistparagraph"/>
    <w:basedOn w:val="Normal"/>
    <w:rsid w:val="00321230"/>
    <w:pPr>
      <w:spacing w:before="100" w:beforeAutospacing="1" w:after="100" w:afterAutospacing="1"/>
      <w:jc w:val="left"/>
    </w:pPr>
    <w:rPr>
      <w:rFonts w:eastAsiaTheme="minorHAnsi" w:cs="Calibri"/>
      <w:szCs w:val="22"/>
      <w:lang w:val="en-US"/>
    </w:rPr>
  </w:style>
  <w:style w:type="paragraph" w:styleId="FootnoteText">
    <w:name w:val="footnote text"/>
    <w:basedOn w:val="Normal"/>
    <w:link w:val="FootnoteTextChar"/>
    <w:uiPriority w:val="99"/>
    <w:unhideWhenUsed/>
    <w:rsid w:val="00DF48ED"/>
    <w:pPr>
      <w:jc w:val="left"/>
    </w:pPr>
    <w:rPr>
      <w:rFonts w:asciiTheme="minorHAnsi" w:eastAsiaTheme="minorHAnsi" w:hAnsiTheme="minorHAnsi" w:cstheme="minorBidi"/>
      <w:sz w:val="20"/>
      <w:szCs w:val="20"/>
      <w:lang w:val="nl-NL"/>
    </w:rPr>
  </w:style>
  <w:style w:type="character" w:customStyle="1" w:styleId="FootnoteTextChar">
    <w:name w:val="Footnote Text Char"/>
    <w:basedOn w:val="DefaultParagraphFont"/>
    <w:link w:val="FootnoteText"/>
    <w:uiPriority w:val="99"/>
    <w:rsid w:val="00DF48ED"/>
    <w:rPr>
      <w:rFonts w:asciiTheme="minorHAnsi" w:eastAsiaTheme="minorHAnsi" w:hAnsiTheme="minorHAnsi" w:cstheme="minorBidi"/>
      <w:lang w:val="nl-NL" w:eastAsia="en-US"/>
    </w:rPr>
  </w:style>
  <w:style w:type="character" w:styleId="FootnoteReference">
    <w:name w:val="footnote reference"/>
    <w:basedOn w:val="DefaultParagraphFont"/>
    <w:uiPriority w:val="99"/>
    <w:unhideWhenUsed/>
    <w:rsid w:val="00DF48ED"/>
    <w:rPr>
      <w:vertAlign w:val="superscript"/>
    </w:rPr>
  </w:style>
  <w:style w:type="character" w:customStyle="1" w:styleId="tlid-translation">
    <w:name w:val="tlid-translation"/>
    <w:basedOn w:val="DefaultParagraphFont"/>
    <w:rsid w:val="00B8159A"/>
  </w:style>
  <w:style w:type="paragraph" w:customStyle="1" w:styleId="Default">
    <w:name w:val="Default"/>
    <w:rsid w:val="008C6190"/>
    <w:pPr>
      <w:autoSpaceDE w:val="0"/>
      <w:autoSpaceDN w:val="0"/>
      <w:adjustRightInd w:val="0"/>
    </w:pPr>
    <w:rPr>
      <w:rFonts w:ascii="Calibri" w:hAnsi="Calibri" w:cs="Calibri"/>
      <w:color w:val="000000"/>
      <w:sz w:val="24"/>
      <w:szCs w:val="24"/>
      <w:lang w:val="en-US"/>
    </w:rPr>
  </w:style>
  <w:style w:type="paragraph" w:styleId="TOC1">
    <w:name w:val="toc 1"/>
    <w:basedOn w:val="Normal"/>
    <w:next w:val="Normal"/>
    <w:autoRedefine/>
    <w:uiPriority w:val="39"/>
    <w:unhideWhenUsed/>
    <w:rsid w:val="00772CD7"/>
    <w:pPr>
      <w:spacing w:after="100"/>
    </w:pPr>
  </w:style>
  <w:style w:type="paragraph" w:styleId="TOC2">
    <w:name w:val="toc 2"/>
    <w:basedOn w:val="Normal"/>
    <w:next w:val="Normal"/>
    <w:autoRedefine/>
    <w:uiPriority w:val="39"/>
    <w:unhideWhenUsed/>
    <w:rsid w:val="00772CD7"/>
    <w:pPr>
      <w:spacing w:after="100"/>
      <w:ind w:left="220"/>
    </w:pPr>
  </w:style>
  <w:style w:type="character" w:customStyle="1" w:styleId="subscript">
    <w:name w:val="subscript"/>
    <w:basedOn w:val="DefaultParagraphFont"/>
    <w:rsid w:val="00162B6E"/>
  </w:style>
  <w:style w:type="character" w:customStyle="1" w:styleId="Caption1">
    <w:name w:val="Caption1"/>
    <w:basedOn w:val="DefaultParagraphFont"/>
    <w:rsid w:val="0098190E"/>
  </w:style>
  <w:style w:type="paragraph" w:styleId="TOC3">
    <w:name w:val="toc 3"/>
    <w:basedOn w:val="Normal"/>
    <w:next w:val="Normal"/>
    <w:autoRedefine/>
    <w:uiPriority w:val="39"/>
    <w:unhideWhenUsed/>
    <w:rsid w:val="00FA262E"/>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Bullet" w:uiPriority="99"/>
    <w:lsdException w:name="List Number" w:semiHidden="0" w:unhideWhenUsed="0"/>
    <w:lsdException w:name="List 4" w:semiHidden="0" w:unhideWhenUsed="0"/>
    <w:lsdException w:name="List 5" w:semiHidden="0" w:unhideWhenUsed="0"/>
    <w:lsdException w:name="List Bullet 2" w:uiPriority="99"/>
    <w:lsdException w:name="List Bullet 3" w:uiPriority="99"/>
    <w:lsdException w:name="List Bullet 4" w:uiPriority="99"/>
    <w:lsdException w:name="List Bullet 5" w:uiPriority="99"/>
    <w:lsdException w:name="Title" w:semiHidden="0" w:uiPriority="10" w:unhideWhenUsed="0" w:qFormat="1"/>
    <w:lsdException w:name="Default Paragraph Font" w:uiPriority="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64A6"/>
    <w:pPr>
      <w:jc w:val="both"/>
    </w:pPr>
    <w:rPr>
      <w:rFonts w:ascii="Calibri" w:hAnsi="Calibri"/>
      <w:sz w:val="22"/>
      <w:szCs w:val="24"/>
      <w:lang w:val="en-GB" w:eastAsia="en-US"/>
    </w:rPr>
  </w:style>
  <w:style w:type="paragraph" w:styleId="Heading1">
    <w:name w:val="heading 1"/>
    <w:basedOn w:val="Normal"/>
    <w:next w:val="Normal"/>
    <w:link w:val="Heading1Char"/>
    <w:uiPriority w:val="1"/>
    <w:qFormat/>
    <w:rsid w:val="00E7794C"/>
    <w:pPr>
      <w:keepNext/>
      <w:numPr>
        <w:numId w:val="1"/>
      </w:numPr>
      <w:spacing w:before="720" w:after="240"/>
      <w:outlineLvl w:val="0"/>
    </w:pPr>
    <w:rPr>
      <w:b/>
      <w:sz w:val="28"/>
      <w:szCs w:val="20"/>
      <w:lang w:val="nb-NO"/>
    </w:rPr>
  </w:style>
  <w:style w:type="paragraph" w:styleId="Heading2">
    <w:name w:val="heading 2"/>
    <w:basedOn w:val="Normal"/>
    <w:next w:val="Normal"/>
    <w:link w:val="Heading2Char"/>
    <w:uiPriority w:val="9"/>
    <w:qFormat/>
    <w:rsid w:val="00E7794C"/>
    <w:pPr>
      <w:keepNext/>
      <w:numPr>
        <w:ilvl w:val="1"/>
        <w:numId w:val="3"/>
      </w:numPr>
      <w:tabs>
        <w:tab w:val="left" w:pos="1134"/>
      </w:tabs>
      <w:spacing w:before="720" w:after="240"/>
      <w:outlineLvl w:val="1"/>
    </w:pPr>
    <w:rPr>
      <w:b/>
      <w:sz w:val="24"/>
      <w:szCs w:val="20"/>
      <w:lang w:val="nb-NO"/>
    </w:rPr>
  </w:style>
  <w:style w:type="paragraph" w:styleId="Heading3">
    <w:name w:val="heading 3"/>
    <w:basedOn w:val="Normal"/>
    <w:next w:val="Normal"/>
    <w:link w:val="Heading3Char"/>
    <w:uiPriority w:val="9"/>
    <w:qFormat/>
    <w:rsid w:val="00E7794C"/>
    <w:pPr>
      <w:keepNext/>
      <w:numPr>
        <w:ilvl w:val="2"/>
        <w:numId w:val="2"/>
      </w:numPr>
      <w:spacing w:before="480" w:after="240"/>
      <w:outlineLvl w:val="2"/>
    </w:pPr>
    <w:rPr>
      <w:b/>
      <w:szCs w:val="20"/>
      <w:lang w:val="nb-NO"/>
    </w:rPr>
  </w:style>
  <w:style w:type="paragraph" w:styleId="Heading4">
    <w:name w:val="heading 4"/>
    <w:basedOn w:val="Normal"/>
    <w:next w:val="Normal"/>
    <w:link w:val="Heading4Char"/>
    <w:uiPriority w:val="9"/>
    <w:unhideWhenUsed/>
    <w:qFormat/>
    <w:rsid w:val="00FF467A"/>
    <w:pPr>
      <w:numPr>
        <w:numId w:val="24"/>
      </w:numPr>
      <w:spacing w:before="100" w:beforeAutospacing="1" w:after="100" w:afterAutospacing="1" w:line="276" w:lineRule="auto"/>
      <w:outlineLvl w:val="3"/>
    </w:pPr>
    <w:rPr>
      <w:rFonts w:asciiTheme="minorHAnsi" w:hAnsiTheme="minorHAnsi" w:cstheme="minorHAnsi"/>
    </w:rPr>
  </w:style>
  <w:style w:type="paragraph" w:styleId="Heading5">
    <w:name w:val="heading 5"/>
    <w:basedOn w:val="Normal"/>
    <w:next w:val="Normal"/>
    <w:link w:val="Heading5Char"/>
    <w:uiPriority w:val="9"/>
    <w:unhideWhenUsed/>
    <w:qFormat/>
    <w:rsid w:val="00EE1D94"/>
    <w:pPr>
      <w:keepNext/>
      <w:keepLines/>
      <w:spacing w:before="200" w:line="276" w:lineRule="auto"/>
      <w:jc w:val="left"/>
      <w:outlineLvl w:val="4"/>
    </w:pPr>
    <w:rPr>
      <w:rFonts w:asciiTheme="majorHAnsi" w:eastAsiaTheme="majorEastAsia" w:hAnsiTheme="majorHAnsi" w:cstheme="majorBidi"/>
      <w:szCs w:val="22"/>
      <w:lang w:val="en-US"/>
    </w:rPr>
  </w:style>
  <w:style w:type="paragraph" w:styleId="Heading6">
    <w:name w:val="heading 6"/>
    <w:basedOn w:val="Normal"/>
    <w:next w:val="Normal"/>
    <w:link w:val="Heading6Char"/>
    <w:uiPriority w:val="9"/>
    <w:semiHidden/>
    <w:unhideWhenUsed/>
    <w:rsid w:val="00EE1D94"/>
    <w:pPr>
      <w:keepNext/>
      <w:keepLines/>
      <w:spacing w:before="200" w:line="276" w:lineRule="auto"/>
      <w:jc w:val="left"/>
      <w:outlineLvl w:val="5"/>
    </w:pPr>
    <w:rPr>
      <w:rFonts w:asciiTheme="majorHAnsi" w:eastAsiaTheme="majorEastAsia" w:hAnsiTheme="majorHAnsi" w:cstheme="majorBidi"/>
      <w:i/>
      <w:iCs/>
      <w:szCs w:val="22"/>
      <w:lang w:val="en-US"/>
    </w:rPr>
  </w:style>
  <w:style w:type="paragraph" w:styleId="Heading7">
    <w:name w:val="heading 7"/>
    <w:basedOn w:val="Normal"/>
    <w:next w:val="Normal"/>
    <w:link w:val="Heading7Char"/>
    <w:uiPriority w:val="9"/>
    <w:semiHidden/>
    <w:unhideWhenUsed/>
    <w:rsid w:val="00EE1D94"/>
    <w:pPr>
      <w:keepNext/>
      <w:keepLines/>
      <w:spacing w:before="200" w:line="276" w:lineRule="auto"/>
      <w:jc w:val="left"/>
      <w:outlineLvl w:val="6"/>
    </w:pPr>
    <w:rPr>
      <w:rFonts w:asciiTheme="majorHAnsi" w:eastAsiaTheme="majorEastAsia" w:hAnsiTheme="majorHAnsi" w:cstheme="majorBidi"/>
      <w:i/>
      <w:iCs/>
      <w:szCs w:val="22"/>
      <w:lang w:val="en-US"/>
    </w:rPr>
  </w:style>
  <w:style w:type="paragraph" w:styleId="Heading8">
    <w:name w:val="heading 8"/>
    <w:basedOn w:val="Normal"/>
    <w:next w:val="Normal"/>
    <w:link w:val="Heading8Char"/>
    <w:uiPriority w:val="9"/>
    <w:semiHidden/>
    <w:unhideWhenUsed/>
    <w:rsid w:val="00EE1D94"/>
    <w:pPr>
      <w:keepNext/>
      <w:keepLines/>
      <w:spacing w:before="200" w:line="276" w:lineRule="auto"/>
      <w:jc w:val="left"/>
      <w:outlineLvl w:val="7"/>
    </w:pPr>
    <w:rPr>
      <w:rFonts w:asciiTheme="majorHAnsi" w:eastAsiaTheme="majorEastAsia" w:hAnsiTheme="majorHAnsi" w:cstheme="majorBidi"/>
      <w:sz w:val="20"/>
      <w:szCs w:val="20"/>
      <w:lang w:val="en-US"/>
    </w:rPr>
  </w:style>
  <w:style w:type="paragraph" w:styleId="Heading9">
    <w:name w:val="heading 9"/>
    <w:basedOn w:val="Normal"/>
    <w:next w:val="Normal"/>
    <w:link w:val="Heading9Char"/>
    <w:uiPriority w:val="9"/>
    <w:semiHidden/>
    <w:unhideWhenUsed/>
    <w:rsid w:val="00EE1D94"/>
    <w:pPr>
      <w:keepNext/>
      <w:keepLines/>
      <w:spacing w:before="200" w:line="276" w:lineRule="auto"/>
      <w:jc w:val="left"/>
      <w:outlineLvl w:val="8"/>
    </w:pPr>
    <w:rPr>
      <w:rFonts w:asciiTheme="majorHAnsi" w:eastAsiaTheme="majorEastAsia" w:hAnsiTheme="majorHAnsi" w:cstheme="majorBidi"/>
      <w:i/>
      <w:i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E1D94"/>
    <w:rPr>
      <w:rFonts w:ascii="Calibri" w:hAnsi="Calibri"/>
      <w:b/>
      <w:sz w:val="28"/>
      <w:lang w:eastAsia="en-US"/>
    </w:rPr>
  </w:style>
  <w:style w:type="character" w:customStyle="1" w:styleId="Heading2Char">
    <w:name w:val="Heading 2 Char"/>
    <w:basedOn w:val="DefaultParagraphFont"/>
    <w:link w:val="Heading2"/>
    <w:uiPriority w:val="9"/>
    <w:rsid w:val="00EE1D94"/>
    <w:rPr>
      <w:rFonts w:ascii="Calibri" w:hAnsi="Calibri"/>
      <w:b/>
      <w:sz w:val="24"/>
      <w:lang w:eastAsia="en-US"/>
    </w:rPr>
  </w:style>
  <w:style w:type="character" w:customStyle="1" w:styleId="Heading3Char">
    <w:name w:val="Heading 3 Char"/>
    <w:basedOn w:val="DefaultParagraphFont"/>
    <w:link w:val="Heading3"/>
    <w:uiPriority w:val="9"/>
    <w:rsid w:val="00EE1D94"/>
    <w:rPr>
      <w:rFonts w:ascii="Calibri" w:hAnsi="Calibri"/>
      <w:b/>
      <w:sz w:val="22"/>
      <w:lang w:eastAsia="en-US"/>
    </w:rPr>
  </w:style>
  <w:style w:type="character" w:customStyle="1" w:styleId="Heading4Char">
    <w:name w:val="Heading 4 Char"/>
    <w:basedOn w:val="DefaultParagraphFont"/>
    <w:link w:val="Heading4"/>
    <w:uiPriority w:val="9"/>
    <w:rsid w:val="002B4FFB"/>
    <w:rPr>
      <w:rFonts w:asciiTheme="minorHAnsi" w:hAnsiTheme="minorHAnsi" w:cstheme="minorHAnsi"/>
      <w:sz w:val="22"/>
      <w:szCs w:val="24"/>
      <w:lang w:val="en-GB" w:eastAsia="en-US"/>
    </w:rPr>
  </w:style>
  <w:style w:type="character" w:customStyle="1" w:styleId="Heading5Char">
    <w:name w:val="Heading 5 Char"/>
    <w:basedOn w:val="DefaultParagraphFont"/>
    <w:link w:val="Heading5"/>
    <w:uiPriority w:val="9"/>
    <w:rsid w:val="00EE1D94"/>
    <w:rPr>
      <w:rFonts w:asciiTheme="majorHAnsi" w:eastAsiaTheme="majorEastAsia" w:hAnsiTheme="majorHAnsi" w:cstheme="majorBidi"/>
      <w:sz w:val="22"/>
      <w:szCs w:val="22"/>
      <w:lang w:val="en-US" w:eastAsia="en-US"/>
    </w:rPr>
  </w:style>
  <w:style w:type="character" w:customStyle="1" w:styleId="Heading6Char">
    <w:name w:val="Heading 6 Char"/>
    <w:basedOn w:val="DefaultParagraphFont"/>
    <w:link w:val="Heading6"/>
    <w:uiPriority w:val="9"/>
    <w:semiHidden/>
    <w:rsid w:val="00EE1D94"/>
    <w:rPr>
      <w:rFonts w:asciiTheme="majorHAnsi" w:eastAsiaTheme="majorEastAsia" w:hAnsiTheme="majorHAnsi" w:cstheme="majorBidi"/>
      <w:i/>
      <w:iCs/>
      <w:sz w:val="22"/>
      <w:szCs w:val="22"/>
      <w:lang w:val="en-US" w:eastAsia="en-US"/>
    </w:rPr>
  </w:style>
  <w:style w:type="character" w:customStyle="1" w:styleId="Heading7Char">
    <w:name w:val="Heading 7 Char"/>
    <w:basedOn w:val="DefaultParagraphFont"/>
    <w:link w:val="Heading7"/>
    <w:uiPriority w:val="9"/>
    <w:semiHidden/>
    <w:rsid w:val="00EE1D94"/>
    <w:rPr>
      <w:rFonts w:asciiTheme="majorHAnsi" w:eastAsiaTheme="majorEastAsia" w:hAnsiTheme="majorHAnsi" w:cstheme="majorBidi"/>
      <w:i/>
      <w:iCs/>
      <w:sz w:val="22"/>
      <w:szCs w:val="22"/>
      <w:lang w:val="en-US" w:eastAsia="en-US"/>
    </w:rPr>
  </w:style>
  <w:style w:type="character" w:customStyle="1" w:styleId="Heading8Char">
    <w:name w:val="Heading 8 Char"/>
    <w:basedOn w:val="DefaultParagraphFont"/>
    <w:link w:val="Heading8"/>
    <w:uiPriority w:val="9"/>
    <w:semiHidden/>
    <w:rsid w:val="00EE1D94"/>
    <w:rPr>
      <w:rFonts w:asciiTheme="majorHAnsi" w:eastAsiaTheme="majorEastAsia" w:hAnsiTheme="majorHAnsi" w:cstheme="majorBidi"/>
      <w:lang w:val="en-US" w:eastAsia="en-US"/>
    </w:rPr>
  </w:style>
  <w:style w:type="character" w:customStyle="1" w:styleId="Heading9Char">
    <w:name w:val="Heading 9 Char"/>
    <w:basedOn w:val="DefaultParagraphFont"/>
    <w:link w:val="Heading9"/>
    <w:uiPriority w:val="9"/>
    <w:semiHidden/>
    <w:rsid w:val="00EE1D94"/>
    <w:rPr>
      <w:rFonts w:asciiTheme="majorHAnsi" w:eastAsiaTheme="majorEastAsia" w:hAnsiTheme="majorHAnsi" w:cstheme="majorBidi"/>
      <w:i/>
      <w:iCs/>
      <w:lang w:val="en-US" w:eastAsia="en-US"/>
    </w:rPr>
  </w:style>
  <w:style w:type="paragraph" w:styleId="Header">
    <w:name w:val="header"/>
    <w:basedOn w:val="Normal"/>
    <w:link w:val="HeaderChar"/>
    <w:uiPriority w:val="99"/>
    <w:rsid w:val="004875BE"/>
    <w:pPr>
      <w:tabs>
        <w:tab w:val="center" w:pos="4153"/>
        <w:tab w:val="right" w:pos="8306"/>
      </w:tabs>
    </w:pPr>
    <w:rPr>
      <w:szCs w:val="20"/>
      <w:lang w:val="nb-NO"/>
    </w:rPr>
  </w:style>
  <w:style w:type="character" w:customStyle="1" w:styleId="HeaderChar">
    <w:name w:val="Header Char"/>
    <w:basedOn w:val="DefaultParagraphFont"/>
    <w:link w:val="Header"/>
    <w:uiPriority w:val="99"/>
    <w:rsid w:val="00CB64A6"/>
    <w:rPr>
      <w:rFonts w:ascii="Calibri" w:hAnsi="Calibri"/>
      <w:sz w:val="22"/>
      <w:lang w:eastAsia="en-US"/>
    </w:rPr>
  </w:style>
  <w:style w:type="paragraph" w:customStyle="1" w:styleId="FORSIDEProsjektnr">
    <w:name w:val="FORSIDE_Prosjektnr"/>
    <w:basedOn w:val="Normal"/>
    <w:next w:val="Normal"/>
    <w:rsid w:val="004875BE"/>
    <w:rPr>
      <w:b/>
      <w:sz w:val="24"/>
      <w:szCs w:val="20"/>
      <w:lang w:val="nb-NO"/>
    </w:rPr>
  </w:style>
  <w:style w:type="paragraph" w:customStyle="1" w:styleId="Headertekst8pkt">
    <w:name w:val="Headertekst_8pkt"/>
    <w:basedOn w:val="Normal"/>
    <w:rsid w:val="004875BE"/>
    <w:pPr>
      <w:tabs>
        <w:tab w:val="left" w:pos="2340"/>
        <w:tab w:val="right" w:pos="4320"/>
        <w:tab w:val="left" w:pos="4680"/>
        <w:tab w:val="left" w:pos="5220"/>
        <w:tab w:val="right" w:pos="8100"/>
        <w:tab w:val="left" w:pos="8280"/>
        <w:tab w:val="left" w:pos="8820"/>
      </w:tabs>
    </w:pPr>
    <w:rPr>
      <w:sz w:val="16"/>
      <w:szCs w:val="20"/>
      <w:lang w:val="nb-NO"/>
    </w:rPr>
  </w:style>
  <w:style w:type="paragraph" w:styleId="Footer">
    <w:name w:val="footer"/>
    <w:basedOn w:val="Normal"/>
    <w:link w:val="FooterChar"/>
    <w:uiPriority w:val="99"/>
    <w:rsid w:val="004875BE"/>
    <w:pPr>
      <w:tabs>
        <w:tab w:val="center" w:pos="4536"/>
        <w:tab w:val="right" w:pos="9072"/>
      </w:tabs>
    </w:pPr>
  </w:style>
  <w:style w:type="character" w:customStyle="1" w:styleId="FooterChar">
    <w:name w:val="Footer Char"/>
    <w:basedOn w:val="DefaultParagraphFont"/>
    <w:link w:val="Footer"/>
    <w:uiPriority w:val="99"/>
    <w:qFormat/>
    <w:rsid w:val="00CB64A6"/>
    <w:rPr>
      <w:rFonts w:ascii="Calibri" w:hAnsi="Calibri"/>
      <w:sz w:val="22"/>
      <w:szCs w:val="24"/>
      <w:lang w:val="en-GB" w:eastAsia="en-US"/>
    </w:rPr>
  </w:style>
  <w:style w:type="paragraph" w:styleId="BalloonText">
    <w:name w:val="Balloon Text"/>
    <w:basedOn w:val="Normal"/>
    <w:link w:val="BalloonTextChar"/>
    <w:uiPriority w:val="99"/>
    <w:rsid w:val="00FF1E0E"/>
    <w:rPr>
      <w:rFonts w:ascii="Tahoma" w:hAnsi="Tahoma" w:cs="Tahoma"/>
      <w:sz w:val="16"/>
      <w:szCs w:val="16"/>
    </w:rPr>
  </w:style>
  <w:style w:type="character" w:customStyle="1" w:styleId="BalloonTextChar">
    <w:name w:val="Balloon Text Char"/>
    <w:basedOn w:val="DefaultParagraphFont"/>
    <w:link w:val="BalloonText"/>
    <w:uiPriority w:val="99"/>
    <w:rsid w:val="00FF1E0E"/>
    <w:rPr>
      <w:rFonts w:ascii="Tahoma" w:hAnsi="Tahoma" w:cs="Tahoma"/>
      <w:sz w:val="16"/>
      <w:szCs w:val="16"/>
      <w:lang w:val="en-GB" w:eastAsia="en-US"/>
    </w:rPr>
  </w:style>
  <w:style w:type="paragraph" w:styleId="Title">
    <w:name w:val="Title"/>
    <w:basedOn w:val="Normal"/>
    <w:next w:val="Normal"/>
    <w:link w:val="TitleChar"/>
    <w:uiPriority w:val="10"/>
    <w:rsid w:val="00EE1D94"/>
    <w:pPr>
      <w:pBdr>
        <w:bottom w:val="single" w:sz="8" w:space="4" w:color="4F81BD" w:themeColor="accent1"/>
      </w:pBdr>
      <w:spacing w:after="300"/>
      <w:contextualSpacing/>
      <w:jc w:val="left"/>
    </w:pPr>
    <w:rPr>
      <w:rFonts w:asciiTheme="minorHAnsi" w:eastAsiaTheme="majorEastAsia" w:hAnsiTheme="minorHAnsi" w:cstheme="majorBidi"/>
      <w:spacing w:val="5"/>
      <w:kern w:val="28"/>
      <w:sz w:val="56"/>
      <w:szCs w:val="52"/>
      <w:lang w:val="en-US"/>
    </w:rPr>
  </w:style>
  <w:style w:type="character" w:customStyle="1" w:styleId="TitleChar">
    <w:name w:val="Title Char"/>
    <w:basedOn w:val="DefaultParagraphFont"/>
    <w:link w:val="Title"/>
    <w:uiPriority w:val="10"/>
    <w:rsid w:val="00EE1D94"/>
    <w:rPr>
      <w:rFonts w:asciiTheme="minorHAnsi" w:eastAsiaTheme="majorEastAsia" w:hAnsiTheme="minorHAnsi" w:cstheme="majorBidi"/>
      <w:spacing w:val="5"/>
      <w:kern w:val="28"/>
      <w:sz w:val="56"/>
      <w:szCs w:val="52"/>
      <w:lang w:val="en-US" w:eastAsia="en-US"/>
    </w:rPr>
  </w:style>
  <w:style w:type="paragraph" w:styleId="Subtitle">
    <w:name w:val="Subtitle"/>
    <w:basedOn w:val="Normal"/>
    <w:next w:val="Normal"/>
    <w:link w:val="SubtitleChar"/>
    <w:uiPriority w:val="11"/>
    <w:rsid w:val="00EE1D94"/>
    <w:pPr>
      <w:spacing w:after="200" w:line="276" w:lineRule="auto"/>
      <w:jc w:val="left"/>
    </w:pPr>
    <w:rPr>
      <w:rFonts w:asciiTheme="minorHAnsi" w:eastAsiaTheme="minorEastAsia" w:hAnsiTheme="minorHAnsi" w:cstheme="minorBidi"/>
      <w:i/>
      <w:sz w:val="44"/>
      <w:szCs w:val="22"/>
      <w:lang w:val="en-US"/>
    </w:rPr>
  </w:style>
  <w:style w:type="character" w:customStyle="1" w:styleId="SubtitleChar">
    <w:name w:val="Subtitle Char"/>
    <w:basedOn w:val="DefaultParagraphFont"/>
    <w:link w:val="Subtitle"/>
    <w:uiPriority w:val="11"/>
    <w:rsid w:val="00EE1D94"/>
    <w:rPr>
      <w:rFonts w:asciiTheme="minorHAnsi" w:eastAsiaTheme="minorEastAsia" w:hAnsiTheme="minorHAnsi" w:cstheme="minorBidi"/>
      <w:i/>
      <w:sz w:val="44"/>
      <w:szCs w:val="22"/>
      <w:lang w:val="en-US" w:eastAsia="en-US"/>
    </w:rPr>
  </w:style>
  <w:style w:type="table" w:styleId="TableGrid">
    <w:name w:val="Table Grid"/>
    <w:basedOn w:val="TableNormal"/>
    <w:uiPriority w:val="59"/>
    <w:rsid w:val="00EE1D9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EE1D94"/>
    <w:rPr>
      <w:rFonts w:asciiTheme="minorHAnsi" w:eastAsiaTheme="minorHAnsi" w:hAnsiTheme="minorHAnsi" w:cstheme="minorBidi"/>
      <w:color w:val="000000" w:themeColor="text1"/>
      <w:sz w:val="22"/>
      <w:szCs w:val="22"/>
      <w:lang w:eastAsia="en-US"/>
    </w:rPr>
  </w:style>
  <w:style w:type="character" w:customStyle="1" w:styleId="NoSpacingChar">
    <w:name w:val="No Spacing Char"/>
    <w:basedOn w:val="DefaultParagraphFont"/>
    <w:link w:val="NoSpacing"/>
    <w:uiPriority w:val="1"/>
    <w:rsid w:val="006A07D1"/>
    <w:rPr>
      <w:rFonts w:asciiTheme="minorHAnsi" w:eastAsiaTheme="minorHAnsi" w:hAnsiTheme="minorHAnsi" w:cstheme="minorBidi"/>
      <w:color w:val="000000" w:themeColor="text1"/>
      <w:sz w:val="22"/>
      <w:szCs w:val="22"/>
      <w:lang w:eastAsia="en-US"/>
    </w:rPr>
  </w:style>
  <w:style w:type="paragraph" w:styleId="Caption">
    <w:name w:val="caption"/>
    <w:basedOn w:val="Normal"/>
    <w:next w:val="Normal"/>
    <w:unhideWhenUsed/>
    <w:qFormat/>
    <w:rsid w:val="00EE1D94"/>
    <w:pPr>
      <w:spacing w:after="200"/>
      <w:jc w:val="left"/>
    </w:pPr>
    <w:rPr>
      <w:rFonts w:asciiTheme="minorHAnsi" w:eastAsiaTheme="minorEastAsia" w:hAnsiTheme="minorHAnsi" w:cstheme="minorBidi"/>
      <w:b/>
      <w:bCs/>
      <w:sz w:val="18"/>
      <w:szCs w:val="18"/>
      <w:lang w:val="en-US"/>
    </w:rPr>
  </w:style>
  <w:style w:type="paragraph" w:styleId="TOCHeading">
    <w:name w:val="TOC Heading"/>
    <w:basedOn w:val="Heading1"/>
    <w:next w:val="Normal"/>
    <w:uiPriority w:val="39"/>
    <w:semiHidden/>
    <w:unhideWhenUsed/>
    <w:qFormat/>
    <w:rsid w:val="00EE1D94"/>
    <w:pPr>
      <w:keepLines/>
      <w:spacing w:before="480" w:after="0" w:line="276" w:lineRule="auto"/>
      <w:ind w:left="720" w:hanging="360"/>
      <w:jc w:val="left"/>
      <w:outlineLvl w:val="9"/>
    </w:pPr>
    <w:rPr>
      <w:rFonts w:asciiTheme="minorHAnsi" w:eastAsiaTheme="majorEastAsia" w:hAnsiTheme="minorHAnsi" w:cstheme="majorBidi"/>
      <w:bCs/>
      <w:sz w:val="24"/>
      <w:szCs w:val="28"/>
      <w:lang w:val="en-US"/>
    </w:rPr>
  </w:style>
  <w:style w:type="paragraph" w:styleId="BodyText">
    <w:name w:val="Body Text"/>
    <w:basedOn w:val="Normal"/>
    <w:link w:val="BodyTextChar"/>
    <w:uiPriority w:val="99"/>
    <w:unhideWhenUsed/>
    <w:rsid w:val="00EE1D94"/>
    <w:pPr>
      <w:spacing w:after="200" w:line="276" w:lineRule="auto"/>
      <w:jc w:val="left"/>
    </w:pPr>
    <w:rPr>
      <w:rFonts w:asciiTheme="minorHAnsi" w:eastAsiaTheme="minorEastAsia" w:hAnsiTheme="minorHAnsi" w:cstheme="minorBidi"/>
      <w:szCs w:val="22"/>
      <w:lang w:val="en-US"/>
    </w:rPr>
  </w:style>
  <w:style w:type="character" w:customStyle="1" w:styleId="BodyTextChar">
    <w:name w:val="Body Text Char"/>
    <w:basedOn w:val="DefaultParagraphFont"/>
    <w:link w:val="BodyText"/>
    <w:uiPriority w:val="99"/>
    <w:rsid w:val="00EE1D94"/>
    <w:rPr>
      <w:rFonts w:asciiTheme="minorHAnsi" w:eastAsiaTheme="minorEastAsia" w:hAnsiTheme="minorHAnsi" w:cstheme="minorBidi"/>
      <w:sz w:val="22"/>
      <w:szCs w:val="22"/>
      <w:lang w:val="en-US" w:eastAsia="en-US"/>
    </w:rPr>
  </w:style>
  <w:style w:type="paragraph" w:styleId="ListParagraph">
    <w:name w:val="List Paragraph"/>
    <w:aliases w:val="cv list paragraph,List Paragraph1,Párrafo de lista,ITEM NUMBER,Numbered Para 1,Dot pt,No Spacing1,List Paragraph Char Char Char,Indicator Text,Bullet 1,Bullet Points,MAIN CONTENT,List Paragraph12,Bullet Style,F5 List Paragraph,OBC Bullet"/>
    <w:basedOn w:val="Normal"/>
    <w:link w:val="ListParagraphChar"/>
    <w:uiPriority w:val="34"/>
    <w:qFormat/>
    <w:rsid w:val="00EE1D94"/>
    <w:pPr>
      <w:spacing w:after="200" w:line="276" w:lineRule="auto"/>
      <w:ind w:left="720"/>
      <w:contextualSpacing/>
      <w:jc w:val="left"/>
    </w:pPr>
    <w:rPr>
      <w:rFonts w:asciiTheme="minorHAnsi" w:eastAsiaTheme="minorEastAsia" w:hAnsiTheme="minorHAnsi" w:cstheme="minorBidi"/>
      <w:szCs w:val="22"/>
      <w:lang w:val="en-US"/>
    </w:rPr>
  </w:style>
  <w:style w:type="character" w:customStyle="1" w:styleId="ListParagraphChar">
    <w:name w:val="List Paragraph Char"/>
    <w:aliases w:val="cv list paragraph Char,List Paragraph1 Char,Párrafo de lista Char,ITEM NUMBER Char,Numbered Para 1 Char,Dot pt Char,No Spacing1 Char,List Paragraph Char Char Char Char,Indicator Text Char,Bullet 1 Char,Bullet Points Char"/>
    <w:link w:val="ListParagraph"/>
    <w:uiPriority w:val="34"/>
    <w:qFormat/>
    <w:locked/>
    <w:rsid w:val="00EE1D94"/>
    <w:rPr>
      <w:rFonts w:asciiTheme="minorHAnsi" w:eastAsiaTheme="minorEastAsia" w:hAnsiTheme="minorHAnsi" w:cstheme="minorBidi"/>
      <w:sz w:val="22"/>
      <w:szCs w:val="22"/>
      <w:lang w:val="en-US" w:eastAsia="en-US"/>
    </w:rPr>
  </w:style>
  <w:style w:type="character" w:styleId="Hyperlink">
    <w:name w:val="Hyperlink"/>
    <w:basedOn w:val="DefaultParagraphFont"/>
    <w:uiPriority w:val="99"/>
    <w:unhideWhenUsed/>
    <w:rsid w:val="00EE1D94"/>
    <w:rPr>
      <w:color w:val="0000FF" w:themeColor="hyperlink"/>
      <w:u w:val="single"/>
    </w:rPr>
  </w:style>
  <w:style w:type="table" w:customStyle="1" w:styleId="azulwp">
    <w:name w:val="azul wp"/>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1">
    <w:name w:val="azul wp1"/>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2">
    <w:name w:val="azul wp2"/>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3">
    <w:name w:val="azul wp3"/>
    <w:basedOn w:val="TableNormal"/>
    <w:uiPriority w:val="99"/>
    <w:rsid w:val="00EE1D94"/>
    <w:rPr>
      <w:rFonts w:asciiTheme="minorHAnsi" w:hAnsiTheme="minorHAnsi" w:cstheme="minorBid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paragraph" w:styleId="CommentText">
    <w:name w:val="annotation text"/>
    <w:basedOn w:val="Normal"/>
    <w:link w:val="CommentTextChar"/>
    <w:uiPriority w:val="99"/>
    <w:unhideWhenUsed/>
    <w:rsid w:val="00EE1D94"/>
    <w:pPr>
      <w:spacing w:after="200"/>
      <w:jc w:val="left"/>
    </w:pPr>
    <w:rPr>
      <w:rFonts w:asciiTheme="minorHAnsi" w:eastAsiaTheme="minorEastAsia" w:hAnsiTheme="minorHAnsi" w:cstheme="minorBidi"/>
      <w:sz w:val="20"/>
      <w:szCs w:val="20"/>
      <w:lang w:val="en-US"/>
    </w:rPr>
  </w:style>
  <w:style w:type="character" w:customStyle="1" w:styleId="CommentTextChar">
    <w:name w:val="Comment Text Char"/>
    <w:basedOn w:val="DefaultParagraphFont"/>
    <w:link w:val="CommentText"/>
    <w:uiPriority w:val="99"/>
    <w:rsid w:val="00EE1D94"/>
    <w:rPr>
      <w:rFonts w:asciiTheme="minorHAnsi" w:eastAsiaTheme="minorEastAsia" w:hAnsiTheme="minorHAnsi" w:cstheme="minorBidi"/>
      <w:lang w:val="en-US" w:eastAsia="en-US"/>
    </w:rPr>
  </w:style>
  <w:style w:type="character" w:customStyle="1" w:styleId="longtext">
    <w:name w:val="long_text"/>
    <w:rsid w:val="00EE1D94"/>
  </w:style>
  <w:style w:type="table" w:customStyle="1" w:styleId="TableGrid2">
    <w:name w:val="Table Grid2"/>
    <w:basedOn w:val="TableNormal"/>
    <w:next w:val="TableGrid"/>
    <w:uiPriority w:val="39"/>
    <w:rsid w:val="0001206D"/>
    <w:rPr>
      <w:rFonts w:asciiTheme="minorHAnsi" w:eastAsiaTheme="minorEastAsia" w:hAnsiTheme="minorHAnsi" w:cstheme="minorBidi"/>
      <w:sz w:val="22"/>
      <w:szCs w:val="22"/>
      <w:lang w:val="ro-R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A07D1"/>
    <w:rPr>
      <w:rFonts w:asciiTheme="minorHAnsi" w:eastAsiaTheme="minorEastAsia" w:hAnsiTheme="minorHAnsi" w:cstheme="minorBidi"/>
      <w:sz w:val="22"/>
      <w:szCs w:val="22"/>
      <w:lang w:val="ro-R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A07D1"/>
  </w:style>
  <w:style w:type="table" w:customStyle="1" w:styleId="azulwp4">
    <w:name w:val="azul wp4"/>
    <w:basedOn w:val="TableNormal"/>
    <w:uiPriority w:val="99"/>
    <w:rsid w:val="00201A95"/>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paragraph" w:styleId="ListBullet">
    <w:name w:val="List Bullet"/>
    <w:basedOn w:val="Normal"/>
    <w:uiPriority w:val="99"/>
    <w:unhideWhenUsed/>
    <w:rsid w:val="00201A95"/>
    <w:pPr>
      <w:numPr>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2">
    <w:name w:val="List Bullet 2"/>
    <w:basedOn w:val="Normal"/>
    <w:uiPriority w:val="99"/>
    <w:unhideWhenUsed/>
    <w:rsid w:val="00201A95"/>
    <w:pPr>
      <w:numPr>
        <w:ilvl w:val="1"/>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3">
    <w:name w:val="List Bullet 3"/>
    <w:basedOn w:val="Normal"/>
    <w:uiPriority w:val="99"/>
    <w:unhideWhenUsed/>
    <w:rsid w:val="00201A95"/>
    <w:pPr>
      <w:numPr>
        <w:ilvl w:val="2"/>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4">
    <w:name w:val="List Bullet 4"/>
    <w:basedOn w:val="Normal"/>
    <w:uiPriority w:val="99"/>
    <w:unhideWhenUsed/>
    <w:rsid w:val="00201A95"/>
    <w:pPr>
      <w:numPr>
        <w:ilvl w:val="3"/>
        <w:numId w:val="13"/>
      </w:numPr>
      <w:spacing w:line="312" w:lineRule="auto"/>
      <w:contextualSpacing/>
    </w:pPr>
    <w:rPr>
      <w:rFonts w:asciiTheme="minorHAnsi" w:hAnsiTheme="minorHAnsi"/>
      <w:color w:val="404040" w:themeColor="text1" w:themeTint="BF"/>
      <w:szCs w:val="20"/>
      <w:lang w:val="es-ES" w:eastAsia="es-ES_tradnl"/>
    </w:rPr>
  </w:style>
  <w:style w:type="paragraph" w:styleId="ListBullet5">
    <w:name w:val="List Bullet 5"/>
    <w:basedOn w:val="Normal"/>
    <w:uiPriority w:val="99"/>
    <w:unhideWhenUsed/>
    <w:rsid w:val="00201A95"/>
    <w:pPr>
      <w:numPr>
        <w:ilvl w:val="4"/>
        <w:numId w:val="13"/>
      </w:numPr>
      <w:spacing w:line="312" w:lineRule="auto"/>
      <w:contextualSpacing/>
    </w:pPr>
    <w:rPr>
      <w:rFonts w:asciiTheme="minorHAnsi" w:hAnsiTheme="minorHAnsi"/>
      <w:color w:val="404040" w:themeColor="text1" w:themeTint="BF"/>
      <w:szCs w:val="20"/>
      <w:lang w:val="es-ES" w:eastAsia="es-ES_tradnl"/>
    </w:rPr>
  </w:style>
  <w:style w:type="paragraph" w:customStyle="1" w:styleId="Listaconvietas6">
    <w:name w:val="Lista con viñetas 6"/>
    <w:basedOn w:val="Normal"/>
    <w:rsid w:val="00201A95"/>
    <w:pPr>
      <w:numPr>
        <w:ilvl w:val="5"/>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7">
    <w:name w:val="Lista con viñetas 7"/>
    <w:basedOn w:val="Normal"/>
    <w:rsid w:val="00201A95"/>
    <w:pPr>
      <w:numPr>
        <w:ilvl w:val="6"/>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8">
    <w:name w:val="Lista con viñetas 8"/>
    <w:basedOn w:val="Normal"/>
    <w:rsid w:val="00201A95"/>
    <w:pPr>
      <w:numPr>
        <w:ilvl w:val="7"/>
        <w:numId w:val="13"/>
      </w:numPr>
      <w:spacing w:line="312" w:lineRule="auto"/>
    </w:pPr>
    <w:rPr>
      <w:rFonts w:asciiTheme="minorHAnsi" w:hAnsiTheme="minorHAnsi"/>
      <w:color w:val="404040" w:themeColor="text1" w:themeTint="BF"/>
      <w:szCs w:val="20"/>
      <w:lang w:val="es-ES" w:eastAsia="es-ES_tradnl"/>
    </w:rPr>
  </w:style>
  <w:style w:type="paragraph" w:customStyle="1" w:styleId="Listaconvietas9">
    <w:name w:val="Lista con viñetas 9"/>
    <w:basedOn w:val="Normal"/>
    <w:rsid w:val="00201A95"/>
    <w:pPr>
      <w:numPr>
        <w:ilvl w:val="8"/>
        <w:numId w:val="13"/>
      </w:numPr>
      <w:spacing w:line="312" w:lineRule="auto"/>
    </w:pPr>
    <w:rPr>
      <w:rFonts w:asciiTheme="minorHAnsi" w:hAnsiTheme="minorHAnsi"/>
      <w:color w:val="404040" w:themeColor="text1" w:themeTint="BF"/>
      <w:szCs w:val="20"/>
      <w:lang w:val="es-ES" w:eastAsia="es-ES_tradnl"/>
    </w:rPr>
  </w:style>
  <w:style w:type="table" w:customStyle="1" w:styleId="azulwp5">
    <w:name w:val="azul wp5"/>
    <w:basedOn w:val="TableNormal"/>
    <w:uiPriority w:val="99"/>
    <w:rsid w:val="00201A95"/>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table" w:customStyle="1" w:styleId="azulwp6">
    <w:name w:val="azul wp6"/>
    <w:basedOn w:val="TableNormal"/>
    <w:uiPriority w:val="99"/>
    <w:rsid w:val="009879A8"/>
    <w:rPr>
      <w:rFonts w:ascii="Calibri" w:hAnsi="Calibri"/>
      <w:sz w:val="22"/>
      <w:szCs w:val="22"/>
      <w:lang w:val="es-ES" w:eastAsia="en-US"/>
    </w:rPr>
    <w:tblPr>
      <w:tblInd w:w="0" w:type="dxa"/>
      <w:tblBorders>
        <w:top w:val="single" w:sz="4" w:space="0" w:color="6FAEDC"/>
        <w:left w:val="single" w:sz="4" w:space="0" w:color="6FAEDC"/>
        <w:bottom w:val="single" w:sz="4" w:space="0" w:color="6FAEDC"/>
        <w:right w:val="single" w:sz="4" w:space="0" w:color="6FAEDC"/>
        <w:insideH w:val="single" w:sz="4" w:space="0" w:color="6FAEDC"/>
        <w:insideV w:val="single" w:sz="4" w:space="0" w:color="6FAEDC"/>
      </w:tblBorders>
      <w:tblCellMar>
        <w:top w:w="0" w:type="dxa"/>
        <w:left w:w="108" w:type="dxa"/>
        <w:bottom w:w="0" w:type="dxa"/>
        <w:right w:w="108" w:type="dxa"/>
      </w:tblCellMar>
    </w:tblPr>
    <w:tblStylePr w:type="firstRow">
      <w:pPr>
        <w:jc w:val="center"/>
      </w:pPr>
      <w:rPr>
        <w:i w:val="0"/>
        <w:color w:val="FFFFFF"/>
      </w:rPr>
      <w:tblPr/>
      <w:tcPr>
        <w:tcBorders>
          <w:top w:val="nil"/>
          <w:left w:val="nil"/>
          <w:bottom w:val="nil"/>
          <w:right w:val="nil"/>
          <w:insideH w:val="single" w:sz="4" w:space="0" w:color="FFFFFF"/>
          <w:insideV w:val="single" w:sz="4" w:space="0" w:color="FFFFFF"/>
        </w:tcBorders>
        <w:shd w:val="clear" w:color="auto" w:fill="6FAEDC"/>
      </w:tcPr>
    </w:tblStylePr>
  </w:style>
  <w:style w:type="character" w:styleId="CommentReference">
    <w:name w:val="annotation reference"/>
    <w:basedOn w:val="DefaultParagraphFont"/>
    <w:uiPriority w:val="99"/>
    <w:semiHidden/>
    <w:unhideWhenUsed/>
    <w:rsid w:val="00F131A0"/>
    <w:rPr>
      <w:sz w:val="16"/>
      <w:szCs w:val="16"/>
    </w:rPr>
  </w:style>
  <w:style w:type="paragraph" w:styleId="CommentSubject">
    <w:name w:val="annotation subject"/>
    <w:basedOn w:val="CommentText"/>
    <w:next w:val="CommentText"/>
    <w:link w:val="CommentSubjectChar"/>
    <w:uiPriority w:val="99"/>
    <w:semiHidden/>
    <w:unhideWhenUsed/>
    <w:rsid w:val="00F131A0"/>
    <w:pPr>
      <w:spacing w:after="0"/>
      <w:jc w:val="both"/>
    </w:pPr>
    <w:rPr>
      <w:rFonts w:ascii="Calibri" w:eastAsia="Times New Roman" w:hAnsi="Calibri" w:cs="Times New Roman"/>
      <w:b/>
      <w:bCs/>
      <w:lang w:val="en-GB"/>
    </w:rPr>
  </w:style>
  <w:style w:type="character" w:customStyle="1" w:styleId="CommentSubjectChar">
    <w:name w:val="Comment Subject Char"/>
    <w:basedOn w:val="CommentTextChar"/>
    <w:link w:val="CommentSubject"/>
    <w:uiPriority w:val="99"/>
    <w:semiHidden/>
    <w:rsid w:val="00F131A0"/>
    <w:rPr>
      <w:rFonts w:ascii="Calibri" w:eastAsiaTheme="minorEastAsia" w:hAnsi="Calibri" w:cstheme="minorBidi"/>
      <w:b/>
      <w:bCs/>
      <w:lang w:val="en-GB" w:eastAsia="en-US"/>
    </w:rPr>
  </w:style>
  <w:style w:type="paragraph" w:styleId="NormalWeb">
    <w:name w:val="Normal (Web)"/>
    <w:basedOn w:val="Normal"/>
    <w:uiPriority w:val="99"/>
    <w:unhideWhenUsed/>
    <w:rsid w:val="001E6DA6"/>
    <w:pPr>
      <w:spacing w:before="100" w:beforeAutospacing="1" w:after="100" w:afterAutospacing="1"/>
      <w:jc w:val="left"/>
    </w:pPr>
    <w:rPr>
      <w:rFonts w:ascii="Times New Roman" w:hAnsi="Times New Roman"/>
      <w:sz w:val="24"/>
    </w:rPr>
  </w:style>
  <w:style w:type="character" w:customStyle="1" w:styleId="ttext">
    <w:name w:val="t_text"/>
    <w:basedOn w:val="DefaultParagraphFont"/>
    <w:rsid w:val="001E6DA6"/>
  </w:style>
  <w:style w:type="paragraph" w:customStyle="1" w:styleId="Left2">
    <w:name w:val="Left 2"/>
    <w:basedOn w:val="Normal"/>
    <w:uiPriority w:val="99"/>
    <w:rsid w:val="0099696C"/>
    <w:pPr>
      <w:widowControl w:val="0"/>
      <w:numPr>
        <w:numId w:val="20"/>
      </w:numPr>
      <w:tabs>
        <w:tab w:val="num" w:pos="-2790"/>
      </w:tabs>
      <w:autoSpaceDE w:val="0"/>
      <w:autoSpaceDN w:val="0"/>
      <w:adjustRightInd w:val="0"/>
      <w:spacing w:after="120"/>
      <w:ind w:left="1440"/>
    </w:pPr>
    <w:rPr>
      <w:rFonts w:ascii="Arial" w:hAnsi="Arial" w:cs="Calibri"/>
      <w:bCs/>
      <w:color w:val="000000"/>
      <w:sz w:val="20"/>
      <w:szCs w:val="20"/>
      <w:lang w:eastAsia="en-GB"/>
    </w:rPr>
  </w:style>
  <w:style w:type="numbering" w:customStyle="1" w:styleId="StyleBulleted">
    <w:name w:val="Style Bulleted"/>
    <w:rsid w:val="0099696C"/>
    <w:pPr>
      <w:numPr>
        <w:numId w:val="21"/>
      </w:numPr>
    </w:pPr>
  </w:style>
  <w:style w:type="paragraph" w:customStyle="1" w:styleId="xxxmsonormal">
    <w:name w:val="xxxmsonormal"/>
    <w:basedOn w:val="Normal"/>
    <w:rsid w:val="0099696C"/>
    <w:pPr>
      <w:jc w:val="left"/>
    </w:pPr>
    <w:rPr>
      <w:rFonts w:eastAsiaTheme="minorHAnsi" w:cs="Calibri"/>
      <w:szCs w:val="22"/>
      <w:lang w:val="en-US"/>
    </w:rPr>
  </w:style>
  <w:style w:type="character" w:customStyle="1" w:styleId="normaltextrun">
    <w:name w:val="normaltextrun"/>
    <w:basedOn w:val="DefaultParagraphFont"/>
    <w:rsid w:val="00B0266F"/>
  </w:style>
  <w:style w:type="character" w:customStyle="1" w:styleId="eop">
    <w:name w:val="eop"/>
    <w:basedOn w:val="DefaultParagraphFont"/>
    <w:rsid w:val="00B0266F"/>
  </w:style>
  <w:style w:type="paragraph" w:customStyle="1" w:styleId="paragraph">
    <w:name w:val="paragraph"/>
    <w:basedOn w:val="Normal"/>
    <w:rsid w:val="00321230"/>
    <w:pPr>
      <w:spacing w:before="100" w:beforeAutospacing="1" w:after="100" w:afterAutospacing="1"/>
      <w:jc w:val="left"/>
    </w:pPr>
    <w:rPr>
      <w:rFonts w:ascii="Times New Roman" w:hAnsi="Times New Roman"/>
      <w:sz w:val="24"/>
      <w:lang w:val="en-US"/>
    </w:rPr>
  </w:style>
  <w:style w:type="paragraph" w:customStyle="1" w:styleId="xmsolistparagraph">
    <w:name w:val="x_msolistparagraph"/>
    <w:basedOn w:val="Normal"/>
    <w:rsid w:val="00321230"/>
    <w:pPr>
      <w:spacing w:before="100" w:beforeAutospacing="1" w:after="100" w:afterAutospacing="1"/>
      <w:jc w:val="left"/>
    </w:pPr>
    <w:rPr>
      <w:rFonts w:eastAsiaTheme="minorHAnsi" w:cs="Calibri"/>
      <w:szCs w:val="22"/>
      <w:lang w:val="en-US"/>
    </w:rPr>
  </w:style>
  <w:style w:type="paragraph" w:styleId="FootnoteText">
    <w:name w:val="footnote text"/>
    <w:basedOn w:val="Normal"/>
    <w:link w:val="FootnoteTextChar"/>
    <w:uiPriority w:val="99"/>
    <w:unhideWhenUsed/>
    <w:rsid w:val="00DF48ED"/>
    <w:pPr>
      <w:jc w:val="left"/>
    </w:pPr>
    <w:rPr>
      <w:rFonts w:asciiTheme="minorHAnsi" w:eastAsiaTheme="minorHAnsi" w:hAnsiTheme="minorHAnsi" w:cstheme="minorBidi"/>
      <w:sz w:val="20"/>
      <w:szCs w:val="20"/>
      <w:lang w:val="nl-NL"/>
    </w:rPr>
  </w:style>
  <w:style w:type="character" w:customStyle="1" w:styleId="FootnoteTextChar">
    <w:name w:val="Footnote Text Char"/>
    <w:basedOn w:val="DefaultParagraphFont"/>
    <w:link w:val="FootnoteText"/>
    <w:uiPriority w:val="99"/>
    <w:rsid w:val="00DF48ED"/>
    <w:rPr>
      <w:rFonts w:asciiTheme="minorHAnsi" w:eastAsiaTheme="minorHAnsi" w:hAnsiTheme="minorHAnsi" w:cstheme="minorBidi"/>
      <w:lang w:val="nl-NL" w:eastAsia="en-US"/>
    </w:rPr>
  </w:style>
  <w:style w:type="character" w:styleId="FootnoteReference">
    <w:name w:val="footnote reference"/>
    <w:basedOn w:val="DefaultParagraphFont"/>
    <w:uiPriority w:val="99"/>
    <w:unhideWhenUsed/>
    <w:rsid w:val="00DF48ED"/>
    <w:rPr>
      <w:vertAlign w:val="superscript"/>
    </w:rPr>
  </w:style>
  <w:style w:type="character" w:customStyle="1" w:styleId="tlid-translation">
    <w:name w:val="tlid-translation"/>
    <w:basedOn w:val="DefaultParagraphFont"/>
    <w:rsid w:val="00B8159A"/>
  </w:style>
  <w:style w:type="paragraph" w:customStyle="1" w:styleId="Default">
    <w:name w:val="Default"/>
    <w:rsid w:val="008C6190"/>
    <w:pPr>
      <w:autoSpaceDE w:val="0"/>
      <w:autoSpaceDN w:val="0"/>
      <w:adjustRightInd w:val="0"/>
    </w:pPr>
    <w:rPr>
      <w:rFonts w:ascii="Calibri" w:hAnsi="Calibri" w:cs="Calibri"/>
      <w:color w:val="000000"/>
      <w:sz w:val="24"/>
      <w:szCs w:val="24"/>
      <w:lang w:val="en-US"/>
    </w:rPr>
  </w:style>
  <w:style w:type="paragraph" w:styleId="TOC1">
    <w:name w:val="toc 1"/>
    <w:basedOn w:val="Normal"/>
    <w:next w:val="Normal"/>
    <w:autoRedefine/>
    <w:uiPriority w:val="39"/>
    <w:unhideWhenUsed/>
    <w:rsid w:val="00772CD7"/>
    <w:pPr>
      <w:spacing w:after="100"/>
    </w:pPr>
  </w:style>
  <w:style w:type="paragraph" w:styleId="TOC2">
    <w:name w:val="toc 2"/>
    <w:basedOn w:val="Normal"/>
    <w:next w:val="Normal"/>
    <w:autoRedefine/>
    <w:uiPriority w:val="39"/>
    <w:unhideWhenUsed/>
    <w:rsid w:val="00772CD7"/>
    <w:pPr>
      <w:spacing w:after="100"/>
      <w:ind w:left="220"/>
    </w:pPr>
  </w:style>
  <w:style w:type="character" w:customStyle="1" w:styleId="subscript">
    <w:name w:val="subscript"/>
    <w:basedOn w:val="DefaultParagraphFont"/>
    <w:rsid w:val="00162B6E"/>
  </w:style>
  <w:style w:type="character" w:customStyle="1" w:styleId="Caption1">
    <w:name w:val="Caption1"/>
    <w:basedOn w:val="DefaultParagraphFont"/>
    <w:rsid w:val="0098190E"/>
  </w:style>
  <w:style w:type="paragraph" w:styleId="TOC3">
    <w:name w:val="toc 3"/>
    <w:basedOn w:val="Normal"/>
    <w:next w:val="Normal"/>
    <w:autoRedefine/>
    <w:uiPriority w:val="39"/>
    <w:unhideWhenUsed/>
    <w:rsid w:val="00FA262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630273">
      <w:bodyDiv w:val="1"/>
      <w:marLeft w:val="0"/>
      <w:marRight w:val="0"/>
      <w:marTop w:val="0"/>
      <w:marBottom w:val="0"/>
      <w:divBdr>
        <w:top w:val="none" w:sz="0" w:space="0" w:color="auto"/>
        <w:left w:val="none" w:sz="0" w:space="0" w:color="auto"/>
        <w:bottom w:val="none" w:sz="0" w:space="0" w:color="auto"/>
        <w:right w:val="none" w:sz="0" w:space="0" w:color="auto"/>
      </w:divBdr>
    </w:div>
    <w:div w:id="181482641">
      <w:bodyDiv w:val="1"/>
      <w:marLeft w:val="0"/>
      <w:marRight w:val="0"/>
      <w:marTop w:val="0"/>
      <w:marBottom w:val="0"/>
      <w:divBdr>
        <w:top w:val="none" w:sz="0" w:space="0" w:color="auto"/>
        <w:left w:val="none" w:sz="0" w:space="0" w:color="auto"/>
        <w:bottom w:val="none" w:sz="0" w:space="0" w:color="auto"/>
        <w:right w:val="none" w:sz="0" w:space="0" w:color="auto"/>
      </w:divBdr>
      <w:divsChild>
        <w:div w:id="592323233">
          <w:marLeft w:val="0"/>
          <w:marRight w:val="0"/>
          <w:marTop w:val="0"/>
          <w:marBottom w:val="0"/>
          <w:divBdr>
            <w:top w:val="none" w:sz="0" w:space="0" w:color="auto"/>
            <w:left w:val="none" w:sz="0" w:space="0" w:color="auto"/>
            <w:bottom w:val="none" w:sz="0" w:space="0" w:color="auto"/>
            <w:right w:val="none" w:sz="0" w:space="0" w:color="auto"/>
          </w:divBdr>
          <w:divsChild>
            <w:div w:id="109401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952217">
      <w:bodyDiv w:val="1"/>
      <w:marLeft w:val="0"/>
      <w:marRight w:val="0"/>
      <w:marTop w:val="0"/>
      <w:marBottom w:val="0"/>
      <w:divBdr>
        <w:top w:val="none" w:sz="0" w:space="0" w:color="auto"/>
        <w:left w:val="none" w:sz="0" w:space="0" w:color="auto"/>
        <w:bottom w:val="none" w:sz="0" w:space="0" w:color="auto"/>
        <w:right w:val="none" w:sz="0" w:space="0" w:color="auto"/>
      </w:divBdr>
      <w:divsChild>
        <w:div w:id="818377059">
          <w:marLeft w:val="0"/>
          <w:marRight w:val="0"/>
          <w:marTop w:val="0"/>
          <w:marBottom w:val="0"/>
          <w:divBdr>
            <w:top w:val="none" w:sz="0" w:space="0" w:color="auto"/>
            <w:left w:val="none" w:sz="0" w:space="0" w:color="auto"/>
            <w:bottom w:val="none" w:sz="0" w:space="0" w:color="auto"/>
            <w:right w:val="none" w:sz="0" w:space="0" w:color="auto"/>
          </w:divBdr>
          <w:divsChild>
            <w:div w:id="66828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515142">
      <w:bodyDiv w:val="1"/>
      <w:marLeft w:val="0"/>
      <w:marRight w:val="0"/>
      <w:marTop w:val="0"/>
      <w:marBottom w:val="0"/>
      <w:divBdr>
        <w:top w:val="none" w:sz="0" w:space="0" w:color="auto"/>
        <w:left w:val="none" w:sz="0" w:space="0" w:color="auto"/>
        <w:bottom w:val="none" w:sz="0" w:space="0" w:color="auto"/>
        <w:right w:val="none" w:sz="0" w:space="0" w:color="auto"/>
      </w:divBdr>
    </w:div>
    <w:div w:id="470250866">
      <w:bodyDiv w:val="1"/>
      <w:marLeft w:val="0"/>
      <w:marRight w:val="0"/>
      <w:marTop w:val="0"/>
      <w:marBottom w:val="0"/>
      <w:divBdr>
        <w:top w:val="none" w:sz="0" w:space="0" w:color="auto"/>
        <w:left w:val="none" w:sz="0" w:space="0" w:color="auto"/>
        <w:bottom w:val="none" w:sz="0" w:space="0" w:color="auto"/>
        <w:right w:val="none" w:sz="0" w:space="0" w:color="auto"/>
      </w:divBdr>
    </w:div>
    <w:div w:id="486283325">
      <w:bodyDiv w:val="1"/>
      <w:marLeft w:val="0"/>
      <w:marRight w:val="0"/>
      <w:marTop w:val="0"/>
      <w:marBottom w:val="0"/>
      <w:divBdr>
        <w:top w:val="none" w:sz="0" w:space="0" w:color="auto"/>
        <w:left w:val="none" w:sz="0" w:space="0" w:color="auto"/>
        <w:bottom w:val="none" w:sz="0" w:space="0" w:color="auto"/>
        <w:right w:val="none" w:sz="0" w:space="0" w:color="auto"/>
      </w:divBdr>
      <w:divsChild>
        <w:div w:id="266161912">
          <w:marLeft w:val="0"/>
          <w:marRight w:val="0"/>
          <w:marTop w:val="0"/>
          <w:marBottom w:val="0"/>
          <w:divBdr>
            <w:top w:val="none" w:sz="0" w:space="0" w:color="auto"/>
            <w:left w:val="none" w:sz="0" w:space="0" w:color="auto"/>
            <w:bottom w:val="none" w:sz="0" w:space="0" w:color="auto"/>
            <w:right w:val="none" w:sz="0" w:space="0" w:color="auto"/>
          </w:divBdr>
          <w:divsChild>
            <w:div w:id="77871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237834">
      <w:bodyDiv w:val="1"/>
      <w:marLeft w:val="0"/>
      <w:marRight w:val="0"/>
      <w:marTop w:val="0"/>
      <w:marBottom w:val="0"/>
      <w:divBdr>
        <w:top w:val="none" w:sz="0" w:space="0" w:color="auto"/>
        <w:left w:val="none" w:sz="0" w:space="0" w:color="auto"/>
        <w:bottom w:val="none" w:sz="0" w:space="0" w:color="auto"/>
        <w:right w:val="none" w:sz="0" w:space="0" w:color="auto"/>
      </w:divBdr>
      <w:divsChild>
        <w:div w:id="2086566564">
          <w:marLeft w:val="0"/>
          <w:marRight w:val="0"/>
          <w:marTop w:val="0"/>
          <w:marBottom w:val="0"/>
          <w:divBdr>
            <w:top w:val="none" w:sz="0" w:space="0" w:color="auto"/>
            <w:left w:val="none" w:sz="0" w:space="0" w:color="auto"/>
            <w:bottom w:val="none" w:sz="0" w:space="0" w:color="auto"/>
            <w:right w:val="none" w:sz="0" w:space="0" w:color="auto"/>
          </w:divBdr>
          <w:divsChild>
            <w:div w:id="156075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414906">
      <w:bodyDiv w:val="1"/>
      <w:marLeft w:val="0"/>
      <w:marRight w:val="0"/>
      <w:marTop w:val="0"/>
      <w:marBottom w:val="0"/>
      <w:divBdr>
        <w:top w:val="none" w:sz="0" w:space="0" w:color="auto"/>
        <w:left w:val="none" w:sz="0" w:space="0" w:color="auto"/>
        <w:bottom w:val="none" w:sz="0" w:space="0" w:color="auto"/>
        <w:right w:val="none" w:sz="0" w:space="0" w:color="auto"/>
      </w:divBdr>
      <w:divsChild>
        <w:div w:id="1004864089">
          <w:marLeft w:val="0"/>
          <w:marRight w:val="0"/>
          <w:marTop w:val="0"/>
          <w:marBottom w:val="0"/>
          <w:divBdr>
            <w:top w:val="none" w:sz="0" w:space="0" w:color="auto"/>
            <w:left w:val="none" w:sz="0" w:space="0" w:color="auto"/>
            <w:bottom w:val="none" w:sz="0" w:space="0" w:color="auto"/>
            <w:right w:val="none" w:sz="0" w:space="0" w:color="auto"/>
          </w:divBdr>
          <w:divsChild>
            <w:div w:id="202239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03996">
      <w:bodyDiv w:val="1"/>
      <w:marLeft w:val="0"/>
      <w:marRight w:val="0"/>
      <w:marTop w:val="0"/>
      <w:marBottom w:val="0"/>
      <w:divBdr>
        <w:top w:val="none" w:sz="0" w:space="0" w:color="auto"/>
        <w:left w:val="none" w:sz="0" w:space="0" w:color="auto"/>
        <w:bottom w:val="none" w:sz="0" w:space="0" w:color="auto"/>
        <w:right w:val="none" w:sz="0" w:space="0" w:color="auto"/>
      </w:divBdr>
    </w:div>
    <w:div w:id="780953754">
      <w:bodyDiv w:val="1"/>
      <w:marLeft w:val="0"/>
      <w:marRight w:val="0"/>
      <w:marTop w:val="0"/>
      <w:marBottom w:val="0"/>
      <w:divBdr>
        <w:top w:val="none" w:sz="0" w:space="0" w:color="auto"/>
        <w:left w:val="none" w:sz="0" w:space="0" w:color="auto"/>
        <w:bottom w:val="none" w:sz="0" w:space="0" w:color="auto"/>
        <w:right w:val="none" w:sz="0" w:space="0" w:color="auto"/>
      </w:divBdr>
    </w:div>
    <w:div w:id="1143543794">
      <w:bodyDiv w:val="1"/>
      <w:marLeft w:val="0"/>
      <w:marRight w:val="0"/>
      <w:marTop w:val="0"/>
      <w:marBottom w:val="0"/>
      <w:divBdr>
        <w:top w:val="none" w:sz="0" w:space="0" w:color="auto"/>
        <w:left w:val="none" w:sz="0" w:space="0" w:color="auto"/>
        <w:bottom w:val="none" w:sz="0" w:space="0" w:color="auto"/>
        <w:right w:val="none" w:sz="0" w:space="0" w:color="auto"/>
      </w:divBdr>
    </w:div>
    <w:div w:id="1353921525">
      <w:bodyDiv w:val="1"/>
      <w:marLeft w:val="0"/>
      <w:marRight w:val="0"/>
      <w:marTop w:val="0"/>
      <w:marBottom w:val="0"/>
      <w:divBdr>
        <w:top w:val="none" w:sz="0" w:space="0" w:color="auto"/>
        <w:left w:val="none" w:sz="0" w:space="0" w:color="auto"/>
        <w:bottom w:val="none" w:sz="0" w:space="0" w:color="auto"/>
        <w:right w:val="none" w:sz="0" w:space="0" w:color="auto"/>
      </w:divBdr>
      <w:divsChild>
        <w:div w:id="162207694">
          <w:marLeft w:val="0"/>
          <w:marRight w:val="0"/>
          <w:marTop w:val="0"/>
          <w:marBottom w:val="0"/>
          <w:divBdr>
            <w:top w:val="none" w:sz="0" w:space="0" w:color="auto"/>
            <w:left w:val="none" w:sz="0" w:space="0" w:color="auto"/>
            <w:bottom w:val="none" w:sz="0" w:space="0" w:color="auto"/>
            <w:right w:val="none" w:sz="0" w:space="0" w:color="auto"/>
          </w:divBdr>
          <w:divsChild>
            <w:div w:id="18121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202380">
      <w:bodyDiv w:val="1"/>
      <w:marLeft w:val="0"/>
      <w:marRight w:val="0"/>
      <w:marTop w:val="0"/>
      <w:marBottom w:val="0"/>
      <w:divBdr>
        <w:top w:val="none" w:sz="0" w:space="0" w:color="auto"/>
        <w:left w:val="none" w:sz="0" w:space="0" w:color="auto"/>
        <w:bottom w:val="none" w:sz="0" w:space="0" w:color="auto"/>
        <w:right w:val="none" w:sz="0" w:space="0" w:color="auto"/>
      </w:divBdr>
    </w:div>
    <w:div w:id="1814519495">
      <w:bodyDiv w:val="1"/>
      <w:marLeft w:val="0"/>
      <w:marRight w:val="0"/>
      <w:marTop w:val="0"/>
      <w:marBottom w:val="0"/>
      <w:divBdr>
        <w:top w:val="none" w:sz="0" w:space="0" w:color="auto"/>
        <w:left w:val="none" w:sz="0" w:space="0" w:color="auto"/>
        <w:bottom w:val="none" w:sz="0" w:space="0" w:color="auto"/>
        <w:right w:val="none" w:sz="0" w:space="0" w:color="auto"/>
      </w:divBdr>
    </w:div>
    <w:div w:id="1909683207">
      <w:bodyDiv w:val="1"/>
      <w:marLeft w:val="0"/>
      <w:marRight w:val="0"/>
      <w:marTop w:val="0"/>
      <w:marBottom w:val="0"/>
      <w:divBdr>
        <w:top w:val="none" w:sz="0" w:space="0" w:color="auto"/>
        <w:left w:val="none" w:sz="0" w:space="0" w:color="auto"/>
        <w:bottom w:val="none" w:sz="0" w:space="0" w:color="auto"/>
        <w:right w:val="none" w:sz="0" w:space="0" w:color="auto"/>
      </w:divBdr>
    </w:div>
    <w:div w:id="2131238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hyperlink" Target="https://www.sintef.no/prosjekter/artifex/" TargetMode="External"/><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5.emf"/><Relationship Id="rId25" Type="http://schemas.openxmlformats.org/officeDocument/2006/relationships/image" Target="media/image12.jpeg"/><Relationship Id="rId33" Type="http://schemas.openxmlformats.org/officeDocument/2006/relationships/footer" Target="footer2.xml"/><Relationship Id="rId67"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tif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image" Target="media/image7.tiff"/><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hyperlink" Target="http://scholarpublishing.org/index.php/ABR/article/view/4786"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fault Document" ma:contentTypeID="0x0101003056F571AC4A7644A1892223109FC69D02003AE1A088BC189A40A20649AF583530A8" ma:contentTypeVersion="13" ma:contentTypeDescription="" ma:contentTypeScope="" ma:versionID="ab915ff835f27ba1b232a315cb0278b1">
  <xsd:schema xmlns:xsd="http://www.w3.org/2001/XMLSchema" xmlns:xs="http://www.w3.org/2001/XMLSchema" xmlns:p="http://schemas.microsoft.com/office/2006/metadata/properties" xmlns:ns2="0d68b1e1-45ba-4240-8eca-da99a1356104" targetNamespace="http://schemas.microsoft.com/office/2006/metadata/properties" ma:root="true" ma:fieldsID="a7c8ad6e9245b4738cd129789a3feaa9" ns2:_="">
    <xsd:import namespace="0d68b1e1-45ba-4240-8eca-da99a1356104"/>
    <xsd:element name="properties">
      <xsd:complexType>
        <xsd:sequence>
          <xsd:element name="documentManagement">
            <xsd:complexType>
              <xsd:all>
                <xsd:element ref="ns2:j34cdfe3fc6f4148a9337d08a14dd7de" minOccurs="0"/>
                <xsd:element ref="ns2:TaxCatchAll" minOccurs="0"/>
                <xsd:element ref="ns2:TaxCatchAllLabel" minOccurs="0"/>
                <xsd:element ref="ns2:cdda6aa699ac48c087939ce4cd83a717" minOccurs="0"/>
                <xsd:element ref="ns2:a35bab36130a4aaaafee921dd9a209c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68b1e1-45ba-4240-8eca-da99a1356104" elementFormDefault="qualified">
    <xsd:import namespace="http://schemas.microsoft.com/office/2006/documentManagement/types"/>
    <xsd:import namespace="http://schemas.microsoft.com/office/infopath/2007/PartnerControls"/>
    <xsd:element name="j34cdfe3fc6f4148a9337d08a14dd7de" ma:index="8" nillable="true" ma:taxonomy="true" ma:internalName="j34cdfe3fc6f4148a9337d08a14dd7de" ma:taxonomyFieldName="Classification" ma:displayName="Classification" ma:default="" ma:fieldId="{334cdfe3-fc6f-4148-a933-7d08a14dd7de}" ma:sspId="8ff8ec43-5215-498a-a147-96446220f21e" ma:termSetId="3492e6ac-f1f1-48da-bd2c-16cb021baca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c154fbbe-1ae5-4d08-a17c-ca58522986d3}" ma:internalName="TaxCatchAll" ma:showField="CatchAllData" ma:web="67a9580f-f7b5-4395-a266-14d2e10b6a84">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c154fbbe-1ae5-4d08-a17c-ca58522986d3}" ma:internalName="TaxCatchAllLabel" ma:readOnly="true" ma:showField="CatchAllDataLabel" ma:web="67a9580f-f7b5-4395-a266-14d2e10b6a84">
      <xsd:complexType>
        <xsd:complexContent>
          <xsd:extension base="dms:MultiChoiceLookup">
            <xsd:sequence>
              <xsd:element name="Value" type="dms:Lookup" maxOccurs="unbounded" minOccurs="0" nillable="true"/>
            </xsd:sequence>
          </xsd:extension>
        </xsd:complexContent>
      </xsd:complexType>
    </xsd:element>
    <xsd:element name="cdda6aa699ac48c087939ce4cd83a717" ma:index="12" nillable="true" ma:taxonomy="true" ma:internalName="cdda6aa699ac48c087939ce4cd83a717" ma:taxonomyFieldName="Project_x0020_Number" ma:displayName="Project Number" ma:default="" ma:fieldId="{cdda6aa6-99ac-48c0-8793-9ce4cd83a717}" ma:sspId="8ff8ec43-5215-498a-a147-96446220f21e" ma:termSetId="c755b20b-622e-45d1-8c2d-5a2b2f175c5e" ma:anchorId="00000000-0000-0000-0000-000000000000" ma:open="false" ma:isKeyword="false">
      <xsd:complexType>
        <xsd:sequence>
          <xsd:element ref="pc:Terms" minOccurs="0" maxOccurs="1"/>
        </xsd:sequence>
      </xsd:complexType>
    </xsd:element>
    <xsd:element name="a35bab36130a4aaaafee921dd9a209cd" ma:index="14" nillable="true" ma:taxonomy="true" ma:internalName="a35bab36130a4aaaafee921dd9a209cd" ma:taxonomyFieldName="Document_x0020_Type" ma:displayName="Document Type" ma:default="" ma:fieldId="{a35bab36-130a-4aaa-afee-921dd9a209cd}" ma:sspId="8ff8ec43-5215-498a-a147-96446220f21e" ma:termSetId="b5f88af8-6c33-4f5d-82ba-ea7d66639043"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8ff8ec43-5215-498a-a147-96446220f21e" ContentTypeId="0x0101003056F571AC4A7644A1892223109FC69D02" PreviousValue="false"/>
</file>

<file path=customXml/item4.xml><?xml version="1.0" encoding="utf-8"?>
<p:properties xmlns:p="http://schemas.microsoft.com/office/2006/metadata/properties" xmlns:xsi="http://www.w3.org/2001/XMLSchema-instance" xmlns:pc="http://schemas.microsoft.com/office/infopath/2007/PartnerControls">
  <documentManagement>
    <cdda6aa699ac48c087939ce4cd83a717 xmlns="0d68b1e1-45ba-4240-8eca-da99a1356104">
      <Terms xmlns="http://schemas.microsoft.com/office/infopath/2007/PartnerControls">
        <TermInfo xmlns="http://schemas.microsoft.com/office/infopath/2007/PartnerControls">
          <TermName xmlns="http://schemas.microsoft.com/office/infopath/2007/PartnerControls">Digimon</TermName>
          <TermId xmlns="http://schemas.microsoft.com/office/infopath/2007/PartnerControls">f120a881-1658-4d1a-89c2-6acb654dcb49</TermId>
        </TermInfo>
      </Terms>
    </cdda6aa699ac48c087939ce4cd83a717>
    <TaxCatchAll xmlns="0d68b1e1-45ba-4240-8eca-da99a1356104">
      <Value>77</Value>
      <Value>4</Value>
    </TaxCatchAll>
    <a35bab36130a4aaaafee921dd9a209cd xmlns="0d68b1e1-45ba-4240-8eca-da99a1356104">
      <Terms xmlns="http://schemas.microsoft.com/office/infopath/2007/PartnerControls"/>
    </a35bab36130a4aaaafee921dd9a209cd>
    <j34cdfe3fc6f4148a9337d08a14dd7de xmlns="0d68b1e1-45ba-4240-8eca-da99a1356104">
      <Terms xmlns="http://schemas.microsoft.com/office/infopath/2007/PartnerControls">
        <TermInfo xmlns="http://schemas.microsoft.com/office/infopath/2007/PartnerControls">
          <TermName xmlns="http://schemas.microsoft.com/office/infopath/2007/PartnerControls">Internal</TermName>
          <TermId xmlns="http://schemas.microsoft.com/office/infopath/2007/PartnerControls">8b0b709f-6398-419b-9d3c-eb1dcb1e922d</TermId>
        </TermInfo>
      </Terms>
    </j34cdfe3fc6f4148a9337d08a14dd7d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5200D3-1525-4A51-80C5-BBB6F7A8B3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68b1e1-45ba-4240-8eca-da99a13561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FD7E0A1-75C3-40CD-90C4-F80324132CDC}">
  <ds:schemaRefs>
    <ds:schemaRef ds:uri="http://schemas.microsoft.com/sharepoint/v3/contenttype/forms"/>
  </ds:schemaRefs>
</ds:datastoreItem>
</file>

<file path=customXml/itemProps3.xml><?xml version="1.0" encoding="utf-8"?>
<ds:datastoreItem xmlns:ds="http://schemas.openxmlformats.org/officeDocument/2006/customXml" ds:itemID="{35C11329-9AE1-41AF-9B42-C067701F5EE3}">
  <ds:schemaRefs>
    <ds:schemaRef ds:uri="Microsoft.SharePoint.Taxonomy.ContentTypeSync"/>
  </ds:schemaRefs>
</ds:datastoreItem>
</file>

<file path=customXml/itemProps4.xml><?xml version="1.0" encoding="utf-8"?>
<ds:datastoreItem xmlns:ds="http://schemas.openxmlformats.org/officeDocument/2006/customXml" ds:itemID="{FDFC7182-4D3C-44D4-8A5E-CFDD232ECD44}">
  <ds:schemaRefs>
    <ds:schemaRef ds:uri="http://schemas.microsoft.com/office/2006/metadata/properties"/>
    <ds:schemaRef ds:uri="http://schemas.microsoft.com/office/infopath/2007/PartnerControls"/>
    <ds:schemaRef ds:uri="0d68b1e1-45ba-4240-8eca-da99a1356104"/>
  </ds:schemaRefs>
</ds:datastoreItem>
</file>

<file path=customXml/itemProps5.xml><?xml version="1.0" encoding="utf-8"?>
<ds:datastoreItem xmlns:ds="http://schemas.openxmlformats.org/officeDocument/2006/customXml" ds:itemID="{18F7B716-0B52-44EF-BA14-4AD109191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16513</Words>
  <Characters>94130</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110423</CharactersWithSpaces>
  <SharedDoc>false</SharedDoc>
  <HLinks>
    <vt:vector size="90" baseType="variant">
      <vt:variant>
        <vt:i4>2752620</vt:i4>
      </vt:variant>
      <vt:variant>
        <vt:i4>102</vt:i4>
      </vt:variant>
      <vt:variant>
        <vt:i4>0</vt:i4>
      </vt:variant>
      <vt:variant>
        <vt:i4>5</vt:i4>
      </vt:variant>
      <vt:variant>
        <vt:lpwstr>http://srtm.csi.cgiar.org/</vt:lpwstr>
      </vt:variant>
      <vt:variant>
        <vt:lpwstr/>
      </vt:variant>
      <vt:variant>
        <vt:i4>4587591</vt:i4>
      </vt:variant>
      <vt:variant>
        <vt:i4>99</vt:i4>
      </vt:variant>
      <vt:variant>
        <vt:i4>0</vt:i4>
      </vt:variant>
      <vt:variant>
        <vt:i4>5</vt:i4>
      </vt:variant>
      <vt:variant>
        <vt:lpwstr>http://dx.doi.org/10.1016/j.ijggc.2014.10.021</vt:lpwstr>
      </vt:variant>
      <vt:variant>
        <vt:lpwstr/>
      </vt:variant>
      <vt:variant>
        <vt:i4>2818111</vt:i4>
      </vt:variant>
      <vt:variant>
        <vt:i4>96</vt:i4>
      </vt:variant>
      <vt:variant>
        <vt:i4>0</vt:i4>
      </vt:variant>
      <vt:variant>
        <vt:i4>5</vt:i4>
      </vt:variant>
      <vt:variant>
        <vt:lpwstr>http://noc.ac.uk/publication/511101</vt:lpwstr>
      </vt:variant>
      <vt:variant>
        <vt:lpwstr/>
      </vt:variant>
      <vt:variant>
        <vt:i4>917575</vt:i4>
      </vt:variant>
      <vt:variant>
        <vt:i4>93</vt:i4>
      </vt:variant>
      <vt:variant>
        <vt:i4>0</vt:i4>
      </vt:variant>
      <vt:variant>
        <vt:i4>5</vt:i4>
      </vt:variant>
      <vt:variant>
        <vt:lpwstr>https://research-information.bristol.ac.uk/en/persons/michael-kendall(78725be2-8b7d-4867-a2f1-369e48515079).html</vt:lpwstr>
      </vt:variant>
      <vt:variant>
        <vt:lpwstr/>
      </vt:variant>
      <vt:variant>
        <vt:i4>262211</vt:i4>
      </vt:variant>
      <vt:variant>
        <vt:i4>90</vt:i4>
      </vt:variant>
      <vt:variant>
        <vt:i4>0</vt:i4>
      </vt:variant>
      <vt:variant>
        <vt:i4>5</vt:i4>
      </vt:variant>
      <vt:variant>
        <vt:lpwstr>https://research-information.bristol.ac.uk/en/persons/anna-l-stork(ebe1b948-5446-42db-bcba-e11d24ef0537).html</vt:lpwstr>
      </vt:variant>
      <vt:variant>
        <vt:lpwstr/>
      </vt:variant>
      <vt:variant>
        <vt:i4>262211</vt:i4>
      </vt:variant>
      <vt:variant>
        <vt:i4>87</vt:i4>
      </vt:variant>
      <vt:variant>
        <vt:i4>0</vt:i4>
      </vt:variant>
      <vt:variant>
        <vt:i4>5</vt:i4>
      </vt:variant>
      <vt:variant>
        <vt:lpwstr>https://research-information.bristol.ac.uk/en/persons/anna-l-stork(ebe1b948-5446-42db-bcba-e11d24ef0537).html</vt:lpwstr>
      </vt:variant>
      <vt:variant>
        <vt:lpwstr/>
      </vt:variant>
      <vt:variant>
        <vt:i4>917575</vt:i4>
      </vt:variant>
      <vt:variant>
        <vt:i4>84</vt:i4>
      </vt:variant>
      <vt:variant>
        <vt:i4>0</vt:i4>
      </vt:variant>
      <vt:variant>
        <vt:i4>5</vt:i4>
      </vt:variant>
      <vt:variant>
        <vt:lpwstr>https://research-information.bristol.ac.uk/en/persons/michael-kendall(78725be2-8b7d-4867-a2f1-369e48515079).html</vt:lpwstr>
      </vt:variant>
      <vt:variant>
        <vt:lpwstr/>
      </vt:variant>
      <vt:variant>
        <vt:i4>8323198</vt:i4>
      </vt:variant>
      <vt:variant>
        <vt:i4>81</vt:i4>
      </vt:variant>
      <vt:variant>
        <vt:i4>0</vt:i4>
      </vt:variant>
      <vt:variant>
        <vt:i4>5</vt:i4>
      </vt:variant>
      <vt:variant>
        <vt:lpwstr>https://research-information.bristol.ac.uk/en/persons/james-p-verdon(0ada1c90-09f9-4de2-8a0e-88f8e9cb08ce).html</vt:lpwstr>
      </vt:variant>
      <vt:variant>
        <vt:lpwstr/>
      </vt:variant>
      <vt:variant>
        <vt:i4>262211</vt:i4>
      </vt:variant>
      <vt:variant>
        <vt:i4>78</vt:i4>
      </vt:variant>
      <vt:variant>
        <vt:i4>0</vt:i4>
      </vt:variant>
      <vt:variant>
        <vt:i4>5</vt:i4>
      </vt:variant>
      <vt:variant>
        <vt:lpwstr>https://research-information.bristol.ac.uk/en/persons/anna-l-stork(ebe1b948-5446-42db-bcba-e11d24ef0537).html</vt:lpwstr>
      </vt:variant>
      <vt:variant>
        <vt:lpwstr/>
      </vt:variant>
      <vt:variant>
        <vt:i4>2490428</vt:i4>
      </vt:variant>
      <vt:variant>
        <vt:i4>75</vt:i4>
      </vt:variant>
      <vt:variant>
        <vt:i4>0</vt:i4>
      </vt:variant>
      <vt:variant>
        <vt:i4>5</vt:i4>
      </vt:variant>
      <vt:variant>
        <vt:lpwstr>http://www.globalccsinstitute.com/</vt:lpwstr>
      </vt:variant>
      <vt:variant>
        <vt:lpwstr/>
      </vt:variant>
      <vt:variant>
        <vt:i4>2686991</vt:i4>
      </vt:variant>
      <vt:variant>
        <vt:i4>72</vt:i4>
      </vt:variant>
      <vt:variant>
        <vt:i4>0</vt:i4>
      </vt:variant>
      <vt:variant>
        <vt:i4>5</vt:i4>
      </vt:variant>
      <vt:variant>
        <vt:lpwstr>http://www.co2captureproject.org/co2_storage_technical_book</vt:lpwstr>
      </vt:variant>
      <vt:variant>
        <vt:lpwstr/>
      </vt:variant>
      <vt:variant>
        <vt:i4>393246</vt:i4>
      </vt:variant>
      <vt:variant>
        <vt:i4>69</vt:i4>
      </vt:variant>
      <vt:variant>
        <vt:i4>0</vt:i4>
      </vt:variant>
      <vt:variant>
        <vt:i4>5</vt:i4>
      </vt:variant>
      <vt:variant>
        <vt:lpwstr>http://www.desca-2020.eu/</vt:lpwstr>
      </vt:variant>
      <vt:variant>
        <vt:lpwstr/>
      </vt:variant>
      <vt:variant>
        <vt:i4>7274548</vt:i4>
      </vt:variant>
      <vt:variant>
        <vt:i4>66</vt:i4>
      </vt:variant>
      <vt:variant>
        <vt:i4>0</vt:i4>
      </vt:variant>
      <vt:variant>
        <vt:i4>5</vt:i4>
      </vt:variant>
      <vt:variant>
        <vt:lpwstr>http://www.fme-success.no/</vt:lpwstr>
      </vt:variant>
      <vt:variant>
        <vt:lpwstr/>
      </vt:variant>
      <vt:variant>
        <vt:i4>4784144</vt:i4>
      </vt:variant>
      <vt:variant>
        <vt:i4>60</vt:i4>
      </vt:variant>
      <vt:variant>
        <vt:i4>0</vt:i4>
      </vt:variant>
      <vt:variant>
        <vt:i4>5</vt:i4>
      </vt:variant>
      <vt:variant>
        <vt:lpwstr>http://www.submarinecablemap.com/</vt:lpwstr>
      </vt:variant>
      <vt:variant>
        <vt:lpwstr/>
      </vt:variant>
      <vt:variant>
        <vt:i4>5767232</vt:i4>
      </vt:variant>
      <vt:variant>
        <vt:i4>33</vt:i4>
      </vt:variant>
      <vt:variant>
        <vt:i4>0</vt:i4>
      </vt:variant>
      <vt:variant>
        <vt:i4>5</vt:i4>
      </vt:variant>
      <vt:variant>
        <vt:lpwstr>https://www.smartfibres.com/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Nøttvedt, Arvid</dc:creator>
  <cp:lastModifiedBy>Gabriel</cp:lastModifiedBy>
  <cp:revision>2</cp:revision>
  <cp:lastPrinted>2006-07-07T06:57:00Z</cp:lastPrinted>
  <dcterms:created xsi:type="dcterms:W3CDTF">2020-12-10T08:00:00Z</dcterms:created>
  <dcterms:modified xsi:type="dcterms:W3CDTF">2020-12-10T08:00:00Z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otattittel">
    <vt:lpwstr>Tittel på notatet</vt:lpwstr>
  </property>
  <property fmtid="{D5CDD505-2E9C-101B-9397-08002B2CF9AE}" pid="3" name="Prosjektnr">
    <vt:lpwstr>xxxxxx</vt:lpwstr>
  </property>
  <property fmtid="{D5CDD505-2E9C-101B-9397-08002B2CF9AE}" pid="4" name="Notatnr">
    <vt:lpwstr>y</vt:lpwstr>
  </property>
  <property fmtid="{D5CDD505-2E9C-101B-9397-08002B2CF9AE}" pid="5" name="Dato">
    <vt:lpwstr>dd.mm.yyyy</vt:lpwstr>
  </property>
  <property fmtid="{D5CDD505-2E9C-101B-9397-08002B2CF9AE}" pid="6" name="Rev">
    <vt:lpwstr>00</vt:lpwstr>
  </property>
  <property fmtid="{D5CDD505-2E9C-101B-9397-08002B2CF9AE}" pid="7" name="Forfatter">
    <vt:lpwstr>Fornavn Etternavn</vt:lpwstr>
  </property>
  <property fmtid="{D5CDD505-2E9C-101B-9397-08002B2CF9AE}" pid="8" name="år">
    <vt:lpwstr>år</vt:lpwstr>
  </property>
  <property fmtid="{D5CDD505-2E9C-101B-9397-08002B2CF9AE}" pid="9" name="ContentTypeId">
    <vt:lpwstr>0x0101003056F571AC4A7644A1892223109FC69D02003AE1A088BC189A40A20649AF583530A8</vt:lpwstr>
  </property>
  <property fmtid="{D5CDD505-2E9C-101B-9397-08002B2CF9AE}" pid="10" name="Document Type">
    <vt:lpwstr/>
  </property>
  <property fmtid="{D5CDD505-2E9C-101B-9397-08002B2CF9AE}" pid="11" name="Project Number">
    <vt:lpwstr>77;#Digimon|f120a881-1658-4d1a-89c2-6acb654dcb49</vt:lpwstr>
  </property>
  <property fmtid="{D5CDD505-2E9C-101B-9397-08002B2CF9AE}" pid="12" name="Classification">
    <vt:lpwstr>4;#Internal|8b0b709f-6398-419b-9d3c-eb1dcb1e922d</vt:lpwstr>
  </property>
</Properties>
</file>